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211" w:rsidRPr="00D741D3" w:rsidRDefault="008A1211" w:rsidP="00006ACA">
      <w:pPr>
        <w:rPr>
          <w:b/>
          <w:bCs/>
          <w:color w:val="548DD4"/>
          <w:sz w:val="28"/>
          <w:szCs w:val="28"/>
          <w:u w:val="single"/>
        </w:rPr>
      </w:pPr>
      <w:r w:rsidRPr="00D741D3">
        <w:rPr>
          <w:b/>
          <w:bCs/>
          <w:color w:val="548DD4"/>
          <w:sz w:val="28"/>
          <w:szCs w:val="28"/>
          <w:u w:val="single"/>
        </w:rPr>
        <w:t>Průzkum absolventů magisterského studijního oboru Studia občanského sektoru na FHS UK v Praze</w:t>
      </w:r>
      <w:r w:rsidRPr="00D741D3">
        <w:rPr>
          <w:rStyle w:val="Znakapoznpodarou"/>
          <w:b/>
          <w:bCs/>
          <w:color w:val="548DD4"/>
          <w:sz w:val="28"/>
          <w:szCs w:val="28"/>
          <w:u w:val="single"/>
        </w:rPr>
        <w:footnoteReference w:id="1"/>
      </w:r>
    </w:p>
    <w:p w:rsidR="008A1211" w:rsidRDefault="008A1211" w:rsidP="00343437">
      <w:pPr>
        <w:pStyle w:val="Odstavecseseznamem"/>
        <w:numPr>
          <w:ilvl w:val="0"/>
          <w:numId w:val="5"/>
        </w:numPr>
      </w:pPr>
      <w:r>
        <w:t>Metodologie sběru dat</w:t>
      </w:r>
    </w:p>
    <w:p w:rsidR="008A1211" w:rsidRDefault="008A1211" w:rsidP="00B354F8">
      <w:r>
        <w:t>A</w:t>
      </w:r>
      <w:r w:rsidRPr="00031190">
        <w:t xml:space="preserve">bsolventi studijního </w:t>
      </w:r>
      <w:r>
        <w:t>oboru b</w:t>
      </w:r>
      <w:r w:rsidRPr="00031190">
        <w:t xml:space="preserve">yli osloveni </w:t>
      </w:r>
      <w:r>
        <w:t xml:space="preserve">v prosinci 2012 </w:t>
      </w:r>
      <w:r w:rsidRPr="00031190">
        <w:t>prostřednictvím e</w:t>
      </w:r>
      <w:r>
        <w:t>-</w:t>
      </w:r>
      <w:r w:rsidRPr="00031190">
        <w:t xml:space="preserve">mailových adres uložených v adresáři katedry. </w:t>
      </w:r>
      <w:r>
        <w:t>Z celkového počtu 240 absolventů bylo platných adres 184, ze kterých dotazník vyplnilo 56 absolventů, což představuje 30% míru návratnosti (a také necelou čtvrtinu všech absolventů).</w:t>
      </w:r>
      <w:r>
        <w:rPr>
          <w:rStyle w:val="Znakapoznpodarou"/>
        </w:rPr>
        <w:footnoteReference w:id="2"/>
      </w:r>
      <w:r>
        <w:t xml:space="preserve"> Vzorek je reprezentativní z hlediska pohlaví a formy studia (prezenční, kombinovaná), ale ve vzorku převažují studenti, kteří nastoupili a absolvovali v posledních letech nad těmi, kteří na katedře studovali dříve. Toto zkreslení lze vysvětlit spolehlivostí opory výběru (seznam obsahoval více funkčních e-mailových adres u novějších absolventů), stejně jako pravděpodobně vyšším sepětím nedávných absolventů s fakultou. Průzkum probíhal formou elektronického dotazníku s uzavřenými i otevřenými otázkami (názory, komentáře).</w:t>
      </w:r>
    </w:p>
    <w:p w:rsidR="008A1211" w:rsidRDefault="008A1211" w:rsidP="00437C78">
      <w:pPr>
        <w:pStyle w:val="Odstavecseseznamem"/>
        <w:numPr>
          <w:ilvl w:val="0"/>
          <w:numId w:val="5"/>
        </w:numPr>
      </w:pPr>
      <w:r>
        <w:t>Zaměstnání absolventů</w:t>
      </w:r>
    </w:p>
    <w:p w:rsidR="00294043" w:rsidRDefault="00294043" w:rsidP="00294043">
      <w:r>
        <w:t xml:space="preserve">Absolventi obecně hodnotí studium jako prospěšné z hlediska možnosti získat zaměstnání. Více než 60 % si myslí, že absolvování studia jim pomohlo získat práci (25 % určitě ano, 36 % spíše ano). Zbývající část respondentů tento faktor spíše nepovažuje za podstatný, přičemž </w:t>
      </w:r>
      <w:r w:rsidR="00D6141A">
        <w:t>j</w:t>
      </w:r>
      <w:r>
        <w:t xml:space="preserve">e ale nutno říci, že pouze zanedbatelná část absolventů vyjádřila silný nesouhlas s tímto tvrzením (viz tabulka A). </w:t>
      </w:r>
    </w:p>
    <w:p w:rsidR="00294043" w:rsidRDefault="00294043" w:rsidP="00294043">
      <w:pPr>
        <w:pStyle w:val="Titulek"/>
        <w:keepNext/>
      </w:pPr>
      <w:bookmarkStart w:id="0" w:name="_Ref352768559"/>
      <w:r>
        <w:t xml:space="preserve">Tabulka </w:t>
      </w:r>
      <w:bookmarkEnd w:id="0"/>
      <w:r>
        <w:t>A: Studium oboru pomohlo získat zaměstnání</w:t>
      </w:r>
    </w:p>
    <w:tbl>
      <w:tblPr>
        <w:tblW w:w="3629" w:type="dxa"/>
        <w:tblInd w:w="-68" w:type="dxa"/>
        <w:tblCellMar>
          <w:left w:w="70" w:type="dxa"/>
          <w:right w:w="70" w:type="dxa"/>
        </w:tblCellMar>
        <w:tblLook w:val="00A0" w:firstRow="1" w:lastRow="0" w:firstColumn="1" w:lastColumn="0" w:noHBand="0" w:noVBand="0"/>
      </w:tblPr>
      <w:tblGrid>
        <w:gridCol w:w="1361"/>
        <w:gridCol w:w="1134"/>
        <w:gridCol w:w="1134"/>
      </w:tblGrid>
      <w:tr w:rsidR="00294043" w:rsidRPr="009750C8" w:rsidTr="004D156A">
        <w:trPr>
          <w:trHeight w:val="300"/>
        </w:trPr>
        <w:tc>
          <w:tcPr>
            <w:tcW w:w="1361" w:type="dxa"/>
            <w:tcBorders>
              <w:top w:val="single" w:sz="4" w:space="0" w:color="auto"/>
              <w:left w:val="nil"/>
              <w:bottom w:val="single" w:sz="4" w:space="0" w:color="auto"/>
              <w:right w:val="nil"/>
            </w:tcBorders>
            <w:noWrap/>
            <w:vAlign w:val="bottom"/>
          </w:tcPr>
          <w:p w:rsidR="00294043" w:rsidRPr="00641DB2" w:rsidRDefault="00294043" w:rsidP="004D156A">
            <w:pPr>
              <w:pStyle w:val="Normln-tabulka"/>
            </w:pPr>
          </w:p>
        </w:tc>
        <w:tc>
          <w:tcPr>
            <w:tcW w:w="1134" w:type="dxa"/>
            <w:tcBorders>
              <w:top w:val="single" w:sz="4" w:space="0" w:color="auto"/>
              <w:left w:val="nil"/>
              <w:bottom w:val="single" w:sz="4" w:space="0" w:color="auto"/>
              <w:right w:val="nil"/>
            </w:tcBorders>
            <w:noWrap/>
            <w:vAlign w:val="bottom"/>
          </w:tcPr>
          <w:p w:rsidR="00294043" w:rsidRPr="00641DB2" w:rsidRDefault="00294043" w:rsidP="004D156A">
            <w:pPr>
              <w:pStyle w:val="Normln-tabulka"/>
              <w:jc w:val="center"/>
            </w:pPr>
            <w:r w:rsidRPr="00641DB2">
              <w:t>N</w:t>
            </w:r>
          </w:p>
        </w:tc>
        <w:tc>
          <w:tcPr>
            <w:tcW w:w="1134" w:type="dxa"/>
            <w:tcBorders>
              <w:top w:val="single" w:sz="4" w:space="0" w:color="auto"/>
              <w:left w:val="nil"/>
              <w:bottom w:val="single" w:sz="4" w:space="0" w:color="auto"/>
              <w:right w:val="nil"/>
            </w:tcBorders>
            <w:noWrap/>
            <w:vAlign w:val="bottom"/>
          </w:tcPr>
          <w:p w:rsidR="00294043" w:rsidRPr="00641DB2" w:rsidRDefault="00294043" w:rsidP="004D156A">
            <w:pPr>
              <w:pStyle w:val="Normln-tabulka"/>
              <w:jc w:val="center"/>
            </w:pPr>
            <w:r w:rsidRPr="00641DB2">
              <w:t>%</w:t>
            </w:r>
          </w:p>
        </w:tc>
      </w:tr>
      <w:tr w:rsidR="00294043" w:rsidRPr="009750C8" w:rsidTr="004D156A">
        <w:trPr>
          <w:trHeight w:val="300"/>
        </w:trPr>
        <w:tc>
          <w:tcPr>
            <w:tcW w:w="1361" w:type="dxa"/>
            <w:tcBorders>
              <w:top w:val="single" w:sz="4" w:space="0" w:color="auto"/>
              <w:left w:val="nil"/>
              <w:bottom w:val="nil"/>
              <w:right w:val="nil"/>
            </w:tcBorders>
            <w:noWrap/>
            <w:vAlign w:val="bottom"/>
          </w:tcPr>
          <w:p w:rsidR="00294043" w:rsidRPr="00641DB2" w:rsidRDefault="00294043" w:rsidP="004D156A">
            <w:pPr>
              <w:pStyle w:val="Normln-tabulka"/>
            </w:pPr>
            <w:r w:rsidRPr="00641DB2">
              <w:t>Určitě ano</w:t>
            </w:r>
          </w:p>
        </w:tc>
        <w:tc>
          <w:tcPr>
            <w:tcW w:w="1134" w:type="dxa"/>
            <w:tcBorders>
              <w:top w:val="single" w:sz="4" w:space="0" w:color="auto"/>
              <w:left w:val="nil"/>
              <w:bottom w:val="nil"/>
              <w:right w:val="nil"/>
            </w:tcBorders>
            <w:noWrap/>
            <w:vAlign w:val="bottom"/>
          </w:tcPr>
          <w:p w:rsidR="00294043" w:rsidRPr="00641DB2" w:rsidRDefault="00294043" w:rsidP="004D156A">
            <w:pPr>
              <w:pStyle w:val="Normln-tabulka"/>
              <w:jc w:val="right"/>
            </w:pPr>
            <w:r w:rsidRPr="00641DB2">
              <w:t>14</w:t>
            </w:r>
          </w:p>
        </w:tc>
        <w:tc>
          <w:tcPr>
            <w:tcW w:w="1134" w:type="dxa"/>
            <w:tcBorders>
              <w:top w:val="single" w:sz="4" w:space="0" w:color="auto"/>
              <w:left w:val="nil"/>
              <w:bottom w:val="nil"/>
              <w:right w:val="nil"/>
            </w:tcBorders>
            <w:noWrap/>
            <w:vAlign w:val="bottom"/>
          </w:tcPr>
          <w:p w:rsidR="00294043" w:rsidRPr="00641DB2" w:rsidRDefault="00294043" w:rsidP="004D156A">
            <w:pPr>
              <w:pStyle w:val="Normln-tabulka"/>
              <w:jc w:val="right"/>
            </w:pPr>
            <w:r w:rsidRPr="00641DB2">
              <w:t>25</w:t>
            </w:r>
          </w:p>
        </w:tc>
      </w:tr>
      <w:tr w:rsidR="00294043" w:rsidRPr="009750C8" w:rsidTr="004D156A">
        <w:trPr>
          <w:trHeight w:val="300"/>
        </w:trPr>
        <w:tc>
          <w:tcPr>
            <w:tcW w:w="1361" w:type="dxa"/>
            <w:tcBorders>
              <w:top w:val="nil"/>
              <w:left w:val="nil"/>
              <w:bottom w:val="nil"/>
              <w:right w:val="nil"/>
            </w:tcBorders>
            <w:noWrap/>
            <w:vAlign w:val="bottom"/>
          </w:tcPr>
          <w:p w:rsidR="00294043" w:rsidRPr="00641DB2" w:rsidRDefault="00294043" w:rsidP="004D156A">
            <w:pPr>
              <w:pStyle w:val="Normln-tabulka"/>
            </w:pPr>
            <w:r w:rsidRPr="00641DB2">
              <w:t>Spíše ano</w:t>
            </w:r>
          </w:p>
        </w:tc>
        <w:tc>
          <w:tcPr>
            <w:tcW w:w="1134" w:type="dxa"/>
            <w:tcBorders>
              <w:top w:val="nil"/>
              <w:left w:val="nil"/>
              <w:bottom w:val="nil"/>
              <w:right w:val="nil"/>
            </w:tcBorders>
            <w:noWrap/>
            <w:vAlign w:val="bottom"/>
          </w:tcPr>
          <w:p w:rsidR="00294043" w:rsidRPr="00641DB2" w:rsidRDefault="00294043" w:rsidP="004D156A">
            <w:pPr>
              <w:pStyle w:val="Normln-tabulka"/>
              <w:jc w:val="right"/>
            </w:pPr>
            <w:r w:rsidRPr="00641DB2">
              <w:t>20</w:t>
            </w:r>
          </w:p>
        </w:tc>
        <w:tc>
          <w:tcPr>
            <w:tcW w:w="1134" w:type="dxa"/>
            <w:tcBorders>
              <w:top w:val="nil"/>
              <w:left w:val="nil"/>
              <w:bottom w:val="nil"/>
              <w:right w:val="nil"/>
            </w:tcBorders>
            <w:noWrap/>
            <w:vAlign w:val="bottom"/>
          </w:tcPr>
          <w:p w:rsidR="00294043" w:rsidRPr="00641DB2" w:rsidRDefault="00294043" w:rsidP="004D156A">
            <w:pPr>
              <w:pStyle w:val="Normln-tabulka"/>
              <w:jc w:val="right"/>
            </w:pPr>
            <w:r>
              <w:t>36</w:t>
            </w:r>
          </w:p>
        </w:tc>
      </w:tr>
      <w:tr w:rsidR="00294043" w:rsidRPr="009750C8" w:rsidTr="004D156A">
        <w:trPr>
          <w:trHeight w:val="300"/>
        </w:trPr>
        <w:tc>
          <w:tcPr>
            <w:tcW w:w="1361" w:type="dxa"/>
            <w:tcBorders>
              <w:top w:val="nil"/>
              <w:left w:val="nil"/>
              <w:right w:val="nil"/>
            </w:tcBorders>
            <w:noWrap/>
            <w:vAlign w:val="bottom"/>
          </w:tcPr>
          <w:p w:rsidR="00294043" w:rsidRPr="00641DB2" w:rsidRDefault="00294043" w:rsidP="004D156A">
            <w:pPr>
              <w:pStyle w:val="Normln-tabulka"/>
            </w:pPr>
            <w:r w:rsidRPr="00641DB2">
              <w:t>Spíše ne</w:t>
            </w:r>
          </w:p>
        </w:tc>
        <w:tc>
          <w:tcPr>
            <w:tcW w:w="1134" w:type="dxa"/>
            <w:tcBorders>
              <w:top w:val="nil"/>
              <w:left w:val="nil"/>
              <w:right w:val="nil"/>
            </w:tcBorders>
            <w:noWrap/>
            <w:vAlign w:val="bottom"/>
          </w:tcPr>
          <w:p w:rsidR="00294043" w:rsidRPr="00641DB2" w:rsidRDefault="00294043" w:rsidP="004D156A">
            <w:pPr>
              <w:pStyle w:val="Normln-tabulka"/>
              <w:jc w:val="right"/>
            </w:pPr>
            <w:r w:rsidRPr="00641DB2">
              <w:t>18</w:t>
            </w:r>
          </w:p>
        </w:tc>
        <w:tc>
          <w:tcPr>
            <w:tcW w:w="1134" w:type="dxa"/>
            <w:tcBorders>
              <w:top w:val="nil"/>
              <w:left w:val="nil"/>
              <w:right w:val="nil"/>
            </w:tcBorders>
            <w:noWrap/>
            <w:vAlign w:val="bottom"/>
          </w:tcPr>
          <w:p w:rsidR="00294043" w:rsidRPr="00641DB2" w:rsidRDefault="00294043" w:rsidP="004D156A">
            <w:pPr>
              <w:pStyle w:val="Normln-tabulka"/>
              <w:jc w:val="right"/>
            </w:pPr>
            <w:r w:rsidRPr="00641DB2">
              <w:t>32</w:t>
            </w:r>
          </w:p>
        </w:tc>
      </w:tr>
      <w:tr w:rsidR="00294043" w:rsidRPr="009750C8" w:rsidTr="004D156A">
        <w:trPr>
          <w:trHeight w:val="300"/>
        </w:trPr>
        <w:tc>
          <w:tcPr>
            <w:tcW w:w="1361" w:type="dxa"/>
            <w:tcBorders>
              <w:top w:val="nil"/>
              <w:left w:val="nil"/>
              <w:bottom w:val="single" w:sz="4" w:space="0" w:color="auto"/>
              <w:right w:val="nil"/>
            </w:tcBorders>
            <w:noWrap/>
            <w:vAlign w:val="bottom"/>
          </w:tcPr>
          <w:p w:rsidR="00294043" w:rsidRPr="00641DB2" w:rsidRDefault="00294043" w:rsidP="004D156A">
            <w:pPr>
              <w:pStyle w:val="Normln-tabulka"/>
            </w:pPr>
            <w:r w:rsidRPr="00641DB2">
              <w:t>Určitě ne</w:t>
            </w:r>
          </w:p>
        </w:tc>
        <w:tc>
          <w:tcPr>
            <w:tcW w:w="1134" w:type="dxa"/>
            <w:tcBorders>
              <w:top w:val="nil"/>
              <w:left w:val="nil"/>
              <w:bottom w:val="single" w:sz="4" w:space="0" w:color="auto"/>
              <w:right w:val="nil"/>
            </w:tcBorders>
            <w:noWrap/>
            <w:vAlign w:val="bottom"/>
          </w:tcPr>
          <w:p w:rsidR="00294043" w:rsidRPr="00641DB2" w:rsidRDefault="00294043" w:rsidP="004D156A">
            <w:pPr>
              <w:pStyle w:val="Normln-tabulka"/>
              <w:jc w:val="right"/>
            </w:pPr>
            <w:r w:rsidRPr="00641DB2">
              <w:t>4</w:t>
            </w:r>
          </w:p>
        </w:tc>
        <w:tc>
          <w:tcPr>
            <w:tcW w:w="1134" w:type="dxa"/>
            <w:tcBorders>
              <w:top w:val="nil"/>
              <w:left w:val="nil"/>
              <w:bottom w:val="single" w:sz="4" w:space="0" w:color="auto"/>
              <w:right w:val="nil"/>
            </w:tcBorders>
            <w:noWrap/>
            <w:vAlign w:val="bottom"/>
          </w:tcPr>
          <w:p w:rsidR="00294043" w:rsidRPr="00641DB2" w:rsidRDefault="00294043" w:rsidP="004D156A">
            <w:pPr>
              <w:pStyle w:val="Normln-tabulka"/>
              <w:jc w:val="right"/>
            </w:pPr>
            <w:r w:rsidRPr="00641DB2">
              <w:t>7</w:t>
            </w:r>
          </w:p>
        </w:tc>
      </w:tr>
    </w:tbl>
    <w:p w:rsidR="00294043" w:rsidRDefault="00294043" w:rsidP="00294043">
      <w:pPr>
        <w:numPr>
          <w:ilvl w:val="0"/>
          <w:numId w:val="5"/>
        </w:numPr>
      </w:pPr>
      <w:r>
        <w:t>N = 56</w:t>
      </w:r>
    </w:p>
    <w:p w:rsidR="008A1211" w:rsidRDefault="00294043" w:rsidP="00294043">
      <w:r>
        <w:br w:type="page"/>
      </w:r>
      <w:r w:rsidR="008A1211">
        <w:lastRenderedPageBreak/>
        <w:t xml:space="preserve">Ze získaných dat jsme nebyli schopni spolehlivě odvodit celou profesní historii absolventů, protože řada respondentů odpovídala pouze zlomkovitě a s různou mírou přesnosti. Analýza se proto zaměřila pouze na současné zaměstnání respondentů. Absolventi nejčastěji působí v organizacích neziskového sektoru (40 %) či státních organizacích v oblasti související s neziskovým sektorem (15 %) (viz tabulka </w:t>
      </w:r>
      <w:r>
        <w:t>B</w:t>
      </w:r>
      <w:r w:rsidR="008A1211">
        <w:t>). Zároveň ale téměř čtvrtina absolventů našla své uplatnění mimo veřejný sektor v komerční sféře (22 %). Dalším rozšířenějším typem zaměstnání jsou pozice v rámci kulturních organizací (9 %) či pozice ve státní správě či samosprávě, které nemají jasnou návaznost na neziskový sektor (9 %).</w:t>
      </w:r>
    </w:p>
    <w:p w:rsidR="008A1211" w:rsidRDefault="008A1211" w:rsidP="00437C78">
      <w:pPr>
        <w:pStyle w:val="Titulek"/>
        <w:keepNext/>
      </w:pPr>
      <w:bookmarkStart w:id="1" w:name="_Ref352768333"/>
      <w:r>
        <w:t>Tabulka</w:t>
      </w:r>
      <w:r w:rsidR="00294043">
        <w:t xml:space="preserve"> B</w:t>
      </w:r>
      <w:bookmarkEnd w:id="1"/>
      <w:r>
        <w:t xml:space="preserve">: </w:t>
      </w:r>
      <w:r w:rsidRPr="00FB5247">
        <w:t>Zaměstnání absolventů podle sektoru</w:t>
      </w:r>
    </w:p>
    <w:tbl>
      <w:tblPr>
        <w:tblW w:w="5960" w:type="dxa"/>
        <w:tblInd w:w="-68" w:type="dxa"/>
        <w:tblCellMar>
          <w:left w:w="70" w:type="dxa"/>
          <w:right w:w="70" w:type="dxa"/>
        </w:tblCellMar>
        <w:tblLook w:val="00A0" w:firstRow="1" w:lastRow="0" w:firstColumn="1" w:lastColumn="0" w:noHBand="0" w:noVBand="0"/>
      </w:tblPr>
      <w:tblGrid>
        <w:gridCol w:w="4040"/>
        <w:gridCol w:w="960"/>
        <w:gridCol w:w="960"/>
      </w:tblGrid>
      <w:tr w:rsidR="008A1211" w:rsidRPr="009750C8">
        <w:trPr>
          <w:trHeight w:val="300"/>
        </w:trPr>
        <w:tc>
          <w:tcPr>
            <w:tcW w:w="4040" w:type="dxa"/>
            <w:tcBorders>
              <w:top w:val="single" w:sz="4" w:space="0" w:color="auto"/>
              <w:left w:val="nil"/>
              <w:bottom w:val="single" w:sz="4" w:space="0" w:color="auto"/>
              <w:right w:val="nil"/>
            </w:tcBorders>
            <w:noWrap/>
            <w:vAlign w:val="bottom"/>
          </w:tcPr>
          <w:p w:rsidR="008A1211" w:rsidRPr="00C04CFB" w:rsidRDefault="008A1211" w:rsidP="005F573A">
            <w:pPr>
              <w:pStyle w:val="Normln-tabulka"/>
            </w:pPr>
          </w:p>
        </w:tc>
        <w:tc>
          <w:tcPr>
            <w:tcW w:w="960" w:type="dxa"/>
            <w:tcBorders>
              <w:top w:val="single" w:sz="4" w:space="0" w:color="auto"/>
              <w:left w:val="nil"/>
              <w:bottom w:val="single" w:sz="4" w:space="0" w:color="auto"/>
              <w:right w:val="nil"/>
            </w:tcBorders>
            <w:noWrap/>
            <w:vAlign w:val="bottom"/>
          </w:tcPr>
          <w:p w:rsidR="008A1211" w:rsidRPr="00C04CFB" w:rsidRDefault="008A1211" w:rsidP="005F573A">
            <w:pPr>
              <w:pStyle w:val="Normln-tabulka"/>
              <w:jc w:val="center"/>
            </w:pPr>
            <w:r w:rsidRPr="00C04CFB">
              <w:t>N</w:t>
            </w:r>
          </w:p>
        </w:tc>
        <w:tc>
          <w:tcPr>
            <w:tcW w:w="960" w:type="dxa"/>
            <w:tcBorders>
              <w:top w:val="single" w:sz="4" w:space="0" w:color="auto"/>
              <w:left w:val="nil"/>
              <w:bottom w:val="single" w:sz="4" w:space="0" w:color="auto"/>
              <w:right w:val="nil"/>
            </w:tcBorders>
            <w:noWrap/>
            <w:vAlign w:val="bottom"/>
          </w:tcPr>
          <w:p w:rsidR="008A1211" w:rsidRPr="00C04CFB" w:rsidRDefault="008A1211" w:rsidP="005F573A">
            <w:pPr>
              <w:pStyle w:val="Normln-tabulka"/>
              <w:jc w:val="center"/>
            </w:pPr>
            <w:r w:rsidRPr="00C04CFB">
              <w:t>%</w:t>
            </w:r>
          </w:p>
        </w:tc>
      </w:tr>
      <w:tr w:rsidR="008A1211" w:rsidRPr="009750C8">
        <w:trPr>
          <w:trHeight w:val="300"/>
        </w:trPr>
        <w:tc>
          <w:tcPr>
            <w:tcW w:w="4040" w:type="dxa"/>
            <w:tcBorders>
              <w:top w:val="single" w:sz="4" w:space="0" w:color="auto"/>
              <w:left w:val="nil"/>
              <w:bottom w:val="nil"/>
              <w:right w:val="nil"/>
            </w:tcBorders>
            <w:noWrap/>
            <w:vAlign w:val="bottom"/>
          </w:tcPr>
          <w:p w:rsidR="008A1211" w:rsidRPr="00C04CFB" w:rsidRDefault="008A1211" w:rsidP="005F573A">
            <w:pPr>
              <w:pStyle w:val="Normln-tabulka"/>
            </w:pPr>
            <w:r w:rsidRPr="00C04CFB">
              <w:t>neziskový sektor</w:t>
            </w:r>
          </w:p>
        </w:tc>
        <w:tc>
          <w:tcPr>
            <w:tcW w:w="960" w:type="dxa"/>
            <w:tcBorders>
              <w:top w:val="single" w:sz="4" w:space="0" w:color="auto"/>
              <w:left w:val="nil"/>
              <w:bottom w:val="nil"/>
              <w:right w:val="nil"/>
            </w:tcBorders>
            <w:noWrap/>
            <w:vAlign w:val="bottom"/>
          </w:tcPr>
          <w:p w:rsidR="008A1211" w:rsidRPr="00C04CFB" w:rsidRDefault="008A1211" w:rsidP="005F573A">
            <w:pPr>
              <w:pStyle w:val="Normln-tabulka"/>
              <w:jc w:val="right"/>
            </w:pPr>
            <w:r w:rsidRPr="00C04CFB">
              <w:t>22</w:t>
            </w:r>
          </w:p>
        </w:tc>
        <w:tc>
          <w:tcPr>
            <w:tcW w:w="960" w:type="dxa"/>
            <w:tcBorders>
              <w:top w:val="single" w:sz="4" w:space="0" w:color="auto"/>
              <w:left w:val="nil"/>
              <w:bottom w:val="nil"/>
              <w:right w:val="nil"/>
            </w:tcBorders>
            <w:noWrap/>
            <w:vAlign w:val="bottom"/>
          </w:tcPr>
          <w:p w:rsidR="008A1211" w:rsidRPr="00C04CFB" w:rsidRDefault="008A1211" w:rsidP="005F573A">
            <w:pPr>
              <w:pStyle w:val="Normln-tabulka"/>
              <w:jc w:val="right"/>
            </w:pPr>
            <w:r w:rsidRPr="00C04CFB">
              <w:t>40</w:t>
            </w:r>
          </w:p>
        </w:tc>
      </w:tr>
      <w:tr w:rsidR="008A1211" w:rsidRPr="009750C8">
        <w:trPr>
          <w:trHeight w:val="300"/>
        </w:trPr>
        <w:tc>
          <w:tcPr>
            <w:tcW w:w="4040" w:type="dxa"/>
            <w:tcBorders>
              <w:top w:val="nil"/>
              <w:left w:val="nil"/>
              <w:bottom w:val="nil"/>
              <w:right w:val="nil"/>
            </w:tcBorders>
            <w:noWrap/>
            <w:vAlign w:val="bottom"/>
          </w:tcPr>
          <w:p w:rsidR="008A1211" w:rsidRPr="002C19DB" w:rsidRDefault="008A1211" w:rsidP="005F573A">
            <w:pPr>
              <w:pStyle w:val="Normln-tabulka"/>
            </w:pPr>
            <w:r>
              <w:t>státní správa/samospráva – fondy a granty</w:t>
            </w:r>
            <w:r>
              <w:rPr>
                <w:vertAlign w:val="superscript"/>
              </w:rPr>
              <w:t>a</w:t>
            </w:r>
          </w:p>
        </w:tc>
        <w:tc>
          <w:tcPr>
            <w:tcW w:w="960" w:type="dxa"/>
            <w:tcBorders>
              <w:top w:val="nil"/>
              <w:left w:val="nil"/>
              <w:bottom w:val="nil"/>
              <w:right w:val="nil"/>
            </w:tcBorders>
            <w:noWrap/>
            <w:vAlign w:val="bottom"/>
          </w:tcPr>
          <w:p w:rsidR="008A1211" w:rsidRPr="00C04CFB" w:rsidRDefault="008A1211" w:rsidP="005F573A">
            <w:pPr>
              <w:pStyle w:val="Normln-tabulka"/>
              <w:jc w:val="right"/>
            </w:pPr>
            <w:r w:rsidRPr="00C04CFB">
              <w:t>8</w:t>
            </w:r>
          </w:p>
        </w:tc>
        <w:tc>
          <w:tcPr>
            <w:tcW w:w="960" w:type="dxa"/>
            <w:tcBorders>
              <w:top w:val="nil"/>
              <w:left w:val="nil"/>
              <w:bottom w:val="nil"/>
              <w:right w:val="nil"/>
            </w:tcBorders>
            <w:noWrap/>
            <w:vAlign w:val="bottom"/>
          </w:tcPr>
          <w:p w:rsidR="008A1211" w:rsidRPr="00C04CFB" w:rsidRDefault="008A1211" w:rsidP="005F573A">
            <w:pPr>
              <w:pStyle w:val="Normln-tabulka"/>
              <w:jc w:val="right"/>
            </w:pPr>
            <w:r w:rsidRPr="00C04CFB">
              <w:t>15</w:t>
            </w:r>
          </w:p>
        </w:tc>
      </w:tr>
      <w:tr w:rsidR="008A1211" w:rsidRPr="009750C8">
        <w:trPr>
          <w:trHeight w:val="300"/>
        </w:trPr>
        <w:tc>
          <w:tcPr>
            <w:tcW w:w="4040" w:type="dxa"/>
            <w:tcBorders>
              <w:top w:val="nil"/>
              <w:left w:val="nil"/>
              <w:bottom w:val="nil"/>
              <w:right w:val="nil"/>
            </w:tcBorders>
            <w:noWrap/>
            <w:vAlign w:val="bottom"/>
          </w:tcPr>
          <w:p w:rsidR="008A1211" w:rsidRPr="00C04CFB" w:rsidRDefault="008A1211" w:rsidP="005F573A">
            <w:pPr>
              <w:pStyle w:val="Normln-tabulka"/>
            </w:pPr>
            <w:r>
              <w:t>státní správa/samospráva – kultura</w:t>
            </w:r>
          </w:p>
        </w:tc>
        <w:tc>
          <w:tcPr>
            <w:tcW w:w="960" w:type="dxa"/>
            <w:tcBorders>
              <w:top w:val="nil"/>
              <w:left w:val="nil"/>
              <w:bottom w:val="nil"/>
              <w:right w:val="nil"/>
            </w:tcBorders>
            <w:noWrap/>
            <w:vAlign w:val="bottom"/>
          </w:tcPr>
          <w:p w:rsidR="008A1211" w:rsidRPr="00C04CFB" w:rsidRDefault="008A1211" w:rsidP="005F573A">
            <w:pPr>
              <w:pStyle w:val="Normln-tabulka"/>
              <w:jc w:val="right"/>
            </w:pPr>
            <w:r w:rsidRPr="00C04CFB">
              <w:t>5</w:t>
            </w:r>
          </w:p>
        </w:tc>
        <w:tc>
          <w:tcPr>
            <w:tcW w:w="960" w:type="dxa"/>
            <w:tcBorders>
              <w:top w:val="nil"/>
              <w:left w:val="nil"/>
              <w:bottom w:val="nil"/>
              <w:right w:val="nil"/>
            </w:tcBorders>
            <w:noWrap/>
            <w:vAlign w:val="bottom"/>
          </w:tcPr>
          <w:p w:rsidR="008A1211" w:rsidRPr="00C04CFB" w:rsidRDefault="008A1211" w:rsidP="005F573A">
            <w:pPr>
              <w:pStyle w:val="Normln-tabulka"/>
              <w:jc w:val="right"/>
            </w:pPr>
            <w:r w:rsidRPr="00C04CFB">
              <w:t>9</w:t>
            </w:r>
          </w:p>
        </w:tc>
      </w:tr>
      <w:tr w:rsidR="008A1211" w:rsidRPr="009750C8">
        <w:trPr>
          <w:trHeight w:val="300"/>
        </w:trPr>
        <w:tc>
          <w:tcPr>
            <w:tcW w:w="4040" w:type="dxa"/>
            <w:tcBorders>
              <w:top w:val="nil"/>
              <w:left w:val="nil"/>
              <w:bottom w:val="nil"/>
              <w:right w:val="nil"/>
            </w:tcBorders>
            <w:noWrap/>
            <w:vAlign w:val="bottom"/>
          </w:tcPr>
          <w:p w:rsidR="008A1211" w:rsidRPr="00C04CFB" w:rsidRDefault="008A1211" w:rsidP="005F573A">
            <w:pPr>
              <w:pStyle w:val="Normln-tabulka"/>
            </w:pPr>
            <w:r w:rsidRPr="00C04CFB">
              <w:t>státní správa</w:t>
            </w:r>
            <w:r>
              <w:t>/samospráva – ostatní</w:t>
            </w:r>
          </w:p>
        </w:tc>
        <w:tc>
          <w:tcPr>
            <w:tcW w:w="960" w:type="dxa"/>
            <w:tcBorders>
              <w:top w:val="nil"/>
              <w:left w:val="nil"/>
              <w:bottom w:val="nil"/>
              <w:right w:val="nil"/>
            </w:tcBorders>
            <w:noWrap/>
            <w:vAlign w:val="bottom"/>
          </w:tcPr>
          <w:p w:rsidR="008A1211" w:rsidRPr="00C04CFB" w:rsidRDefault="008A1211" w:rsidP="005F573A">
            <w:pPr>
              <w:pStyle w:val="Normln-tabulka"/>
              <w:jc w:val="right"/>
            </w:pPr>
            <w:r w:rsidRPr="00C04CFB">
              <w:t>5</w:t>
            </w:r>
          </w:p>
        </w:tc>
        <w:tc>
          <w:tcPr>
            <w:tcW w:w="960" w:type="dxa"/>
            <w:tcBorders>
              <w:top w:val="nil"/>
              <w:left w:val="nil"/>
              <w:bottom w:val="nil"/>
              <w:right w:val="nil"/>
            </w:tcBorders>
            <w:noWrap/>
            <w:vAlign w:val="bottom"/>
          </w:tcPr>
          <w:p w:rsidR="008A1211" w:rsidRPr="00C04CFB" w:rsidRDefault="008A1211" w:rsidP="005F573A">
            <w:pPr>
              <w:pStyle w:val="Normln-tabulka"/>
              <w:jc w:val="right"/>
            </w:pPr>
            <w:r w:rsidRPr="00C04CFB">
              <w:t>9</w:t>
            </w:r>
          </w:p>
        </w:tc>
      </w:tr>
      <w:tr w:rsidR="008A1211" w:rsidRPr="009750C8">
        <w:trPr>
          <w:trHeight w:val="300"/>
        </w:trPr>
        <w:tc>
          <w:tcPr>
            <w:tcW w:w="4040" w:type="dxa"/>
            <w:tcBorders>
              <w:top w:val="nil"/>
              <w:left w:val="nil"/>
              <w:bottom w:val="nil"/>
              <w:right w:val="nil"/>
            </w:tcBorders>
            <w:noWrap/>
            <w:vAlign w:val="bottom"/>
          </w:tcPr>
          <w:p w:rsidR="008A1211" w:rsidRPr="00C04CFB" w:rsidRDefault="008A1211" w:rsidP="005F573A">
            <w:pPr>
              <w:pStyle w:val="Normln-tabulka"/>
            </w:pPr>
            <w:r w:rsidRPr="00C04CFB">
              <w:t>komerční sektor</w:t>
            </w:r>
          </w:p>
        </w:tc>
        <w:tc>
          <w:tcPr>
            <w:tcW w:w="960" w:type="dxa"/>
            <w:tcBorders>
              <w:top w:val="nil"/>
              <w:left w:val="nil"/>
              <w:bottom w:val="nil"/>
              <w:right w:val="nil"/>
            </w:tcBorders>
            <w:noWrap/>
            <w:vAlign w:val="bottom"/>
          </w:tcPr>
          <w:p w:rsidR="008A1211" w:rsidRPr="00C04CFB" w:rsidRDefault="008A1211" w:rsidP="005F573A">
            <w:pPr>
              <w:pStyle w:val="Normln-tabulka"/>
              <w:jc w:val="right"/>
            </w:pPr>
            <w:r w:rsidRPr="00C04CFB">
              <w:t>12</w:t>
            </w:r>
          </w:p>
        </w:tc>
        <w:tc>
          <w:tcPr>
            <w:tcW w:w="960" w:type="dxa"/>
            <w:tcBorders>
              <w:top w:val="nil"/>
              <w:left w:val="nil"/>
              <w:bottom w:val="nil"/>
              <w:right w:val="nil"/>
            </w:tcBorders>
            <w:noWrap/>
            <w:vAlign w:val="bottom"/>
          </w:tcPr>
          <w:p w:rsidR="008A1211" w:rsidRPr="00C04CFB" w:rsidRDefault="008A1211" w:rsidP="005F573A">
            <w:pPr>
              <w:pStyle w:val="Normln-tabulka"/>
              <w:jc w:val="right"/>
            </w:pPr>
            <w:r w:rsidRPr="00C04CFB">
              <w:t>22</w:t>
            </w:r>
          </w:p>
        </w:tc>
      </w:tr>
      <w:tr w:rsidR="008A1211" w:rsidRPr="009750C8">
        <w:trPr>
          <w:trHeight w:val="300"/>
        </w:trPr>
        <w:tc>
          <w:tcPr>
            <w:tcW w:w="4040" w:type="dxa"/>
            <w:tcBorders>
              <w:top w:val="nil"/>
              <w:left w:val="nil"/>
              <w:right w:val="nil"/>
            </w:tcBorders>
            <w:noWrap/>
            <w:vAlign w:val="bottom"/>
          </w:tcPr>
          <w:p w:rsidR="008A1211" w:rsidRPr="00C04CFB" w:rsidRDefault="008A1211" w:rsidP="005F573A">
            <w:pPr>
              <w:pStyle w:val="Normln-tabulka"/>
            </w:pPr>
            <w:r w:rsidRPr="00C04CFB">
              <w:t>akademický sektor</w:t>
            </w:r>
          </w:p>
        </w:tc>
        <w:tc>
          <w:tcPr>
            <w:tcW w:w="960" w:type="dxa"/>
            <w:tcBorders>
              <w:top w:val="nil"/>
              <w:left w:val="nil"/>
              <w:right w:val="nil"/>
            </w:tcBorders>
            <w:noWrap/>
            <w:vAlign w:val="bottom"/>
          </w:tcPr>
          <w:p w:rsidR="008A1211" w:rsidRPr="00C04CFB" w:rsidRDefault="008A1211" w:rsidP="005F573A">
            <w:pPr>
              <w:pStyle w:val="Normln-tabulka"/>
              <w:jc w:val="right"/>
            </w:pPr>
            <w:r w:rsidRPr="00C04CFB">
              <w:t>1</w:t>
            </w:r>
          </w:p>
        </w:tc>
        <w:tc>
          <w:tcPr>
            <w:tcW w:w="960" w:type="dxa"/>
            <w:tcBorders>
              <w:top w:val="nil"/>
              <w:left w:val="nil"/>
              <w:right w:val="nil"/>
            </w:tcBorders>
            <w:noWrap/>
            <w:vAlign w:val="bottom"/>
          </w:tcPr>
          <w:p w:rsidR="008A1211" w:rsidRPr="00C04CFB" w:rsidRDefault="008A1211" w:rsidP="005F573A">
            <w:pPr>
              <w:pStyle w:val="Normln-tabulka"/>
              <w:jc w:val="right"/>
            </w:pPr>
            <w:r w:rsidRPr="00C04CFB">
              <w:t>2</w:t>
            </w:r>
          </w:p>
        </w:tc>
      </w:tr>
      <w:tr w:rsidR="008A1211" w:rsidRPr="009750C8">
        <w:trPr>
          <w:trHeight w:val="300"/>
        </w:trPr>
        <w:tc>
          <w:tcPr>
            <w:tcW w:w="4040" w:type="dxa"/>
            <w:tcBorders>
              <w:top w:val="nil"/>
              <w:left w:val="nil"/>
              <w:bottom w:val="single" w:sz="4" w:space="0" w:color="auto"/>
              <w:right w:val="nil"/>
            </w:tcBorders>
            <w:noWrap/>
            <w:vAlign w:val="bottom"/>
          </w:tcPr>
          <w:p w:rsidR="008A1211" w:rsidRPr="00C04CFB" w:rsidRDefault="008A1211" w:rsidP="005F573A">
            <w:pPr>
              <w:pStyle w:val="Normln-tabulka"/>
            </w:pPr>
            <w:r w:rsidRPr="00C04CFB">
              <w:t>rodičovská dovolená</w:t>
            </w:r>
          </w:p>
        </w:tc>
        <w:tc>
          <w:tcPr>
            <w:tcW w:w="960" w:type="dxa"/>
            <w:tcBorders>
              <w:top w:val="nil"/>
              <w:left w:val="nil"/>
              <w:bottom w:val="single" w:sz="4" w:space="0" w:color="auto"/>
              <w:right w:val="nil"/>
            </w:tcBorders>
            <w:noWrap/>
            <w:vAlign w:val="bottom"/>
          </w:tcPr>
          <w:p w:rsidR="008A1211" w:rsidRPr="00C04CFB" w:rsidRDefault="008A1211" w:rsidP="005F573A">
            <w:pPr>
              <w:pStyle w:val="Normln-tabulka"/>
              <w:jc w:val="right"/>
            </w:pPr>
            <w:r w:rsidRPr="00C04CFB">
              <w:t>2</w:t>
            </w:r>
          </w:p>
        </w:tc>
        <w:tc>
          <w:tcPr>
            <w:tcW w:w="960" w:type="dxa"/>
            <w:tcBorders>
              <w:top w:val="nil"/>
              <w:left w:val="nil"/>
              <w:bottom w:val="single" w:sz="4" w:space="0" w:color="auto"/>
              <w:right w:val="nil"/>
            </w:tcBorders>
            <w:noWrap/>
            <w:vAlign w:val="bottom"/>
          </w:tcPr>
          <w:p w:rsidR="008A1211" w:rsidRPr="00C04CFB" w:rsidRDefault="008A1211" w:rsidP="005F573A">
            <w:pPr>
              <w:pStyle w:val="Normln-tabulka"/>
              <w:jc w:val="right"/>
            </w:pPr>
            <w:r w:rsidRPr="00C04CFB">
              <w:t>4</w:t>
            </w:r>
          </w:p>
        </w:tc>
      </w:tr>
    </w:tbl>
    <w:p w:rsidR="008A1211" w:rsidRDefault="008A1211" w:rsidP="00437C78">
      <w:pPr>
        <w:pStyle w:val="Odstavecseseznamem"/>
        <w:numPr>
          <w:ilvl w:val="0"/>
          <w:numId w:val="4"/>
        </w:numPr>
        <w:ind w:left="454" w:hanging="454"/>
        <w:rPr>
          <w:sz w:val="20"/>
          <w:szCs w:val="20"/>
        </w:rPr>
      </w:pPr>
      <w:r w:rsidRPr="00AB352A">
        <w:rPr>
          <w:sz w:val="20"/>
          <w:szCs w:val="20"/>
        </w:rPr>
        <w:t>oblast státní správy či samosprávy s možnou návazností na neziskový sektor (např. organizace rozdělující granty, oblast evropských fondů atp.)</w:t>
      </w:r>
    </w:p>
    <w:p w:rsidR="008A1211" w:rsidRPr="00AB352A" w:rsidRDefault="008A1211" w:rsidP="00437C78">
      <w:pPr>
        <w:pStyle w:val="Odstavecseseznamem"/>
        <w:numPr>
          <w:ilvl w:val="0"/>
          <w:numId w:val="4"/>
        </w:numPr>
        <w:ind w:left="454" w:hanging="454"/>
        <w:rPr>
          <w:sz w:val="20"/>
          <w:szCs w:val="20"/>
        </w:rPr>
      </w:pPr>
      <w:r>
        <w:rPr>
          <w:sz w:val="20"/>
          <w:szCs w:val="20"/>
        </w:rPr>
        <w:t>např. kulturní středisko, knihovna, muzeum zřízené městem apod.</w:t>
      </w:r>
    </w:p>
    <w:p w:rsidR="008A1211" w:rsidRDefault="008A1211" w:rsidP="00437C78">
      <w:r>
        <w:t xml:space="preserve"> N = 55</w:t>
      </w:r>
    </w:p>
    <w:p w:rsidR="008A1211" w:rsidRDefault="008A1211" w:rsidP="00437C78">
      <w:r>
        <w:t>Drtivá většina respondentů pracovala v placeném zaměstnání již během svého studia v magisterském programu (86 %). Tento souběh přitom byl pro studium typický, spíše než, že by se jednalo o menší část studijní doby. Více než 62 % respondentů pracovalo během studia dva roky nebo déle. Tomu odpovídá i podíl studentů (46 %), kteří do magisterského programu již nastupovali s placeným zaměstnáním, které vykonávali v průběhu celého studia. Dalších 36 % studentů si našlo práci během studia. Pouze zbývající necelá pětina studentů začala otázku trvalého placeného zaměstnání řešit až po ukončení studia. Toto rozložení výrazným způsobem souvisí s formou studia absolventů. Zatímco u prezenčních studentů je práce před začátkem studia spíše neobvyklá (10 %) a celá třetina si ji hledá až po ukončení studia, tak kombinovaní studenti nastupují v drtivé většině již jako pracující (69 %) a po ukončení studia práci hledá pouze 9 % absolventů.</w:t>
      </w:r>
    </w:p>
    <w:p w:rsidR="008A1211" w:rsidRDefault="008A1211" w:rsidP="00D6141A">
      <w:pPr>
        <w:pStyle w:val="Odstavecseseznamem"/>
        <w:numPr>
          <w:ilvl w:val="0"/>
          <w:numId w:val="9"/>
        </w:numPr>
      </w:pPr>
      <w:r>
        <w:t>Hodnocení studia</w:t>
      </w:r>
    </w:p>
    <w:p w:rsidR="008A1211" w:rsidRDefault="008A1211" w:rsidP="00343437">
      <w:r>
        <w:t xml:space="preserve">Hlavním cílem výzkumu z hlediska katedry bylo získat zpětnou vazbu od bývalých studentů, nezkreslenou touhou potěšit vedení katedry před získáním titulu a zároveň již obohacenou o určitý odstup, který člověk získá až nějaký čas po absolvování školy. Absolventi v dotazníku hodnotili přínos jednotlivých kurzů vzhledem k současnému zaměstnání i k plánům do budoucna. Jako nejpřínosnější pro profesní život byl hodnocen kurz Právní rámec občanského sektoru, jehož průměrné ohodnocení na škále od 0 do 100 přesahovalo hodnotu 80. Většina ostatních kurzů se pohybovala v rozmezí 60 a 70 bodů, tedy na mírně nadprůměrné hladině. Přitom u některých kurzů byl patrný příznivý posun v hodnocení mezi staršími studenty, kteří začali studovat před rokem 2004, a těmi pozdějšími (např. předměty Metody výzkumu I a II, kterým katedra věnovala pozornost a vylepšila jejich koncepci). </w:t>
      </w:r>
    </w:p>
    <w:p w:rsidR="008A1211" w:rsidRDefault="008A1211" w:rsidP="00343437">
      <w:r>
        <w:lastRenderedPageBreak/>
        <w:t>Jednou z otázek, které se katedra průběžně věnuje i v dialogu se studenty, je vztah mezi teoreticky a prakticky zaměřenými předměty v celkové koncepci studia. V hodnocení se absolventi dělili na dvě přibližně stejně velké skupiny těch, kteří považovali studium za vyvážené, a těch, kteří ho považovali za příliš teoreticky zaměřené (tabulka C). První skupina přitom byla spojena spíše s celkově kladným hodnocením obsahu studia, zatímco druhá s relativně méně příznivým.</w:t>
      </w:r>
    </w:p>
    <w:p w:rsidR="008A1211" w:rsidRDefault="008A1211" w:rsidP="003C567C">
      <w:pPr>
        <w:pStyle w:val="Titulek"/>
        <w:keepNext/>
      </w:pPr>
      <w:bookmarkStart w:id="2" w:name="_Ref352768052"/>
      <w:r>
        <w:t xml:space="preserve">Tabulka </w:t>
      </w:r>
      <w:bookmarkEnd w:id="2"/>
      <w:r>
        <w:t xml:space="preserve">C: </w:t>
      </w:r>
      <w:r w:rsidRPr="003C567C">
        <w:t xml:space="preserve">Zhodnocení </w:t>
      </w:r>
      <w:r>
        <w:t xml:space="preserve">orientace studia </w:t>
      </w:r>
      <w:r w:rsidRPr="003C567C">
        <w:t>–</w:t>
      </w:r>
      <w:r w:rsidR="00D6141A">
        <w:t xml:space="preserve"> </w:t>
      </w:r>
      <w:r w:rsidRPr="003C567C">
        <w:t xml:space="preserve">praktická </w:t>
      </w:r>
      <w:r>
        <w:t xml:space="preserve">x teoretická stránka </w:t>
      </w:r>
    </w:p>
    <w:tbl>
      <w:tblPr>
        <w:tblW w:w="8384" w:type="dxa"/>
        <w:tblInd w:w="-68" w:type="dxa"/>
        <w:tblCellMar>
          <w:left w:w="70" w:type="dxa"/>
          <w:right w:w="70" w:type="dxa"/>
        </w:tblCellMar>
        <w:tblLook w:val="00A0" w:firstRow="1" w:lastRow="0" w:firstColumn="1" w:lastColumn="0" w:noHBand="0" w:noVBand="0"/>
      </w:tblPr>
      <w:tblGrid>
        <w:gridCol w:w="3742"/>
        <w:gridCol w:w="960"/>
        <w:gridCol w:w="960"/>
        <w:gridCol w:w="1361"/>
        <w:gridCol w:w="1361"/>
      </w:tblGrid>
      <w:tr w:rsidR="008A1211" w:rsidRPr="009750C8">
        <w:trPr>
          <w:trHeight w:val="300"/>
        </w:trPr>
        <w:tc>
          <w:tcPr>
            <w:tcW w:w="3742" w:type="dxa"/>
            <w:tcBorders>
              <w:top w:val="single" w:sz="4" w:space="0" w:color="auto"/>
              <w:left w:val="nil"/>
              <w:right w:val="nil"/>
            </w:tcBorders>
            <w:noWrap/>
            <w:vAlign w:val="bottom"/>
          </w:tcPr>
          <w:p w:rsidR="008A1211" w:rsidRDefault="008A1211" w:rsidP="00F16777">
            <w:pPr>
              <w:pStyle w:val="Normln-tabulka"/>
              <w:keepNext/>
            </w:pPr>
          </w:p>
        </w:tc>
        <w:tc>
          <w:tcPr>
            <w:tcW w:w="960" w:type="dxa"/>
            <w:tcBorders>
              <w:top w:val="single" w:sz="4" w:space="0" w:color="auto"/>
              <w:left w:val="nil"/>
              <w:right w:val="nil"/>
            </w:tcBorders>
            <w:noWrap/>
            <w:vAlign w:val="bottom"/>
          </w:tcPr>
          <w:p w:rsidR="008A1211" w:rsidRDefault="008A1211" w:rsidP="00F16777">
            <w:pPr>
              <w:pStyle w:val="Normln-tabulka"/>
              <w:keepNext/>
              <w:jc w:val="center"/>
            </w:pPr>
          </w:p>
        </w:tc>
        <w:tc>
          <w:tcPr>
            <w:tcW w:w="960" w:type="dxa"/>
            <w:tcBorders>
              <w:top w:val="single" w:sz="4" w:space="0" w:color="auto"/>
              <w:left w:val="nil"/>
              <w:right w:val="single" w:sz="4" w:space="0" w:color="auto"/>
            </w:tcBorders>
            <w:noWrap/>
            <w:vAlign w:val="bottom"/>
          </w:tcPr>
          <w:p w:rsidR="008A1211" w:rsidRDefault="008A1211" w:rsidP="00F16777">
            <w:pPr>
              <w:pStyle w:val="Normln-tabulka"/>
              <w:keepNext/>
              <w:jc w:val="center"/>
            </w:pPr>
          </w:p>
        </w:tc>
        <w:tc>
          <w:tcPr>
            <w:tcW w:w="2721" w:type="dxa"/>
            <w:gridSpan w:val="2"/>
            <w:tcBorders>
              <w:top w:val="single" w:sz="4" w:space="0" w:color="auto"/>
              <w:left w:val="single" w:sz="4" w:space="0" w:color="auto"/>
              <w:right w:val="nil"/>
            </w:tcBorders>
            <w:vAlign w:val="bottom"/>
          </w:tcPr>
          <w:p w:rsidR="008A1211" w:rsidRDefault="008A1211" w:rsidP="00F16777">
            <w:pPr>
              <w:pStyle w:val="Normln-tabulka"/>
              <w:keepNext/>
              <w:jc w:val="center"/>
            </w:pPr>
            <w:r w:rsidRPr="008B65A7">
              <w:t>Přijetí do studia</w:t>
            </w:r>
            <w:r>
              <w:br/>
              <w:t>(sloupcová %)</w:t>
            </w:r>
          </w:p>
        </w:tc>
      </w:tr>
      <w:tr w:rsidR="008A1211" w:rsidRPr="009750C8">
        <w:trPr>
          <w:trHeight w:val="300"/>
        </w:trPr>
        <w:tc>
          <w:tcPr>
            <w:tcW w:w="3742" w:type="dxa"/>
            <w:tcBorders>
              <w:left w:val="nil"/>
              <w:bottom w:val="single" w:sz="4" w:space="0" w:color="auto"/>
              <w:right w:val="nil"/>
            </w:tcBorders>
            <w:noWrap/>
            <w:vAlign w:val="bottom"/>
          </w:tcPr>
          <w:p w:rsidR="008A1211" w:rsidRDefault="008A1211" w:rsidP="00F16777">
            <w:pPr>
              <w:pStyle w:val="Normln-tabulka"/>
              <w:keepNext/>
            </w:pPr>
          </w:p>
        </w:tc>
        <w:tc>
          <w:tcPr>
            <w:tcW w:w="960" w:type="dxa"/>
            <w:tcBorders>
              <w:left w:val="nil"/>
              <w:bottom w:val="single" w:sz="4" w:space="0" w:color="auto"/>
              <w:right w:val="nil"/>
            </w:tcBorders>
            <w:noWrap/>
            <w:vAlign w:val="bottom"/>
          </w:tcPr>
          <w:p w:rsidR="008A1211" w:rsidRPr="00572492" w:rsidRDefault="008A1211" w:rsidP="00F16777">
            <w:pPr>
              <w:pStyle w:val="Normln-tabulka"/>
              <w:keepNext/>
              <w:jc w:val="center"/>
            </w:pPr>
            <w:r>
              <w:t>N</w:t>
            </w:r>
          </w:p>
        </w:tc>
        <w:tc>
          <w:tcPr>
            <w:tcW w:w="960" w:type="dxa"/>
            <w:tcBorders>
              <w:left w:val="nil"/>
              <w:bottom w:val="single" w:sz="4" w:space="0" w:color="auto"/>
              <w:right w:val="single" w:sz="4" w:space="0" w:color="auto"/>
            </w:tcBorders>
            <w:noWrap/>
            <w:vAlign w:val="bottom"/>
          </w:tcPr>
          <w:p w:rsidR="008A1211" w:rsidRPr="00572492" w:rsidRDefault="008A1211" w:rsidP="00F16777">
            <w:pPr>
              <w:pStyle w:val="Normln-tabulka"/>
              <w:keepNext/>
              <w:jc w:val="center"/>
            </w:pPr>
            <w:r>
              <w:t>%</w:t>
            </w:r>
          </w:p>
        </w:tc>
        <w:tc>
          <w:tcPr>
            <w:tcW w:w="1361" w:type="dxa"/>
            <w:tcBorders>
              <w:left w:val="single" w:sz="4" w:space="0" w:color="auto"/>
              <w:bottom w:val="single" w:sz="4" w:space="0" w:color="auto"/>
              <w:right w:val="nil"/>
            </w:tcBorders>
            <w:vAlign w:val="bottom"/>
          </w:tcPr>
          <w:p w:rsidR="008A1211" w:rsidRPr="008B65A7" w:rsidRDefault="008A1211" w:rsidP="00F16777">
            <w:pPr>
              <w:keepNext/>
              <w:spacing w:after="0" w:line="240" w:lineRule="auto"/>
              <w:jc w:val="center"/>
              <w:rPr>
                <w:color w:val="000000"/>
              </w:rPr>
            </w:pPr>
            <w:r w:rsidRPr="008B65A7">
              <w:rPr>
                <w:color w:val="000000"/>
              </w:rPr>
              <w:t>před rokem 2004</w:t>
            </w:r>
          </w:p>
        </w:tc>
        <w:tc>
          <w:tcPr>
            <w:tcW w:w="1361" w:type="dxa"/>
            <w:tcBorders>
              <w:left w:val="nil"/>
              <w:bottom w:val="single" w:sz="4" w:space="0" w:color="auto"/>
              <w:right w:val="nil"/>
            </w:tcBorders>
            <w:vAlign w:val="bottom"/>
          </w:tcPr>
          <w:p w:rsidR="008A1211" w:rsidRPr="008B65A7" w:rsidRDefault="008A1211" w:rsidP="00F16777">
            <w:pPr>
              <w:keepNext/>
              <w:spacing w:after="0" w:line="240" w:lineRule="auto"/>
              <w:jc w:val="center"/>
              <w:rPr>
                <w:color w:val="000000"/>
              </w:rPr>
            </w:pPr>
            <w:r w:rsidRPr="008B65A7">
              <w:rPr>
                <w:color w:val="000000"/>
              </w:rPr>
              <w:t>po roce 2004 (včetně)</w:t>
            </w:r>
          </w:p>
        </w:tc>
      </w:tr>
      <w:tr w:rsidR="008A1211" w:rsidRPr="009750C8">
        <w:trPr>
          <w:trHeight w:val="300"/>
        </w:trPr>
        <w:tc>
          <w:tcPr>
            <w:tcW w:w="3742" w:type="dxa"/>
            <w:tcBorders>
              <w:top w:val="single" w:sz="4" w:space="0" w:color="auto"/>
              <w:left w:val="nil"/>
              <w:bottom w:val="nil"/>
              <w:right w:val="nil"/>
            </w:tcBorders>
            <w:noWrap/>
            <w:vAlign w:val="bottom"/>
          </w:tcPr>
          <w:p w:rsidR="008A1211" w:rsidRPr="00572492" w:rsidRDefault="008A1211" w:rsidP="00F16777">
            <w:pPr>
              <w:pStyle w:val="Normln-tabulka"/>
              <w:keepNext/>
            </w:pPr>
            <w:r>
              <w:t>P</w:t>
            </w:r>
            <w:r w:rsidRPr="00572492">
              <w:t>říliš zaměřené na praktickou stránku věci.</w:t>
            </w:r>
          </w:p>
        </w:tc>
        <w:tc>
          <w:tcPr>
            <w:tcW w:w="960" w:type="dxa"/>
            <w:tcBorders>
              <w:top w:val="single" w:sz="4" w:space="0" w:color="auto"/>
              <w:left w:val="nil"/>
              <w:bottom w:val="nil"/>
              <w:right w:val="nil"/>
            </w:tcBorders>
            <w:noWrap/>
            <w:vAlign w:val="bottom"/>
          </w:tcPr>
          <w:p w:rsidR="008A1211" w:rsidRPr="00572492" w:rsidRDefault="008A1211" w:rsidP="00F16777">
            <w:pPr>
              <w:pStyle w:val="Normln-tabulka"/>
              <w:keepNext/>
              <w:jc w:val="right"/>
            </w:pPr>
            <w:r w:rsidRPr="00572492">
              <w:t>2</w:t>
            </w:r>
          </w:p>
        </w:tc>
        <w:tc>
          <w:tcPr>
            <w:tcW w:w="960" w:type="dxa"/>
            <w:tcBorders>
              <w:top w:val="single" w:sz="4" w:space="0" w:color="auto"/>
              <w:left w:val="nil"/>
              <w:bottom w:val="nil"/>
              <w:right w:val="single" w:sz="4" w:space="0" w:color="auto"/>
            </w:tcBorders>
            <w:noWrap/>
            <w:vAlign w:val="bottom"/>
          </w:tcPr>
          <w:p w:rsidR="008A1211" w:rsidRPr="00572492" w:rsidRDefault="008A1211" w:rsidP="00F16777">
            <w:pPr>
              <w:pStyle w:val="Normln-tabulka"/>
              <w:keepNext/>
              <w:jc w:val="right"/>
            </w:pPr>
            <w:r>
              <w:t>4</w:t>
            </w:r>
          </w:p>
        </w:tc>
        <w:tc>
          <w:tcPr>
            <w:tcW w:w="1361" w:type="dxa"/>
            <w:tcBorders>
              <w:top w:val="single" w:sz="4" w:space="0" w:color="auto"/>
              <w:left w:val="single" w:sz="4" w:space="0" w:color="auto"/>
              <w:bottom w:val="nil"/>
              <w:right w:val="nil"/>
            </w:tcBorders>
            <w:vAlign w:val="bottom"/>
          </w:tcPr>
          <w:p w:rsidR="008A1211" w:rsidRPr="00CB2605" w:rsidRDefault="008A1211" w:rsidP="00F16777">
            <w:pPr>
              <w:keepNext/>
              <w:spacing w:after="0" w:line="240" w:lineRule="auto"/>
              <w:jc w:val="right"/>
              <w:rPr>
                <w:color w:val="000000"/>
              </w:rPr>
            </w:pPr>
            <w:r w:rsidRPr="00CB2605">
              <w:rPr>
                <w:color w:val="000000"/>
              </w:rPr>
              <w:t>0</w:t>
            </w:r>
          </w:p>
        </w:tc>
        <w:tc>
          <w:tcPr>
            <w:tcW w:w="1361" w:type="dxa"/>
            <w:tcBorders>
              <w:top w:val="single" w:sz="4" w:space="0" w:color="auto"/>
              <w:left w:val="nil"/>
              <w:bottom w:val="nil"/>
              <w:right w:val="nil"/>
            </w:tcBorders>
            <w:vAlign w:val="bottom"/>
          </w:tcPr>
          <w:p w:rsidR="008A1211" w:rsidRPr="00CB2605" w:rsidRDefault="008A1211" w:rsidP="00F16777">
            <w:pPr>
              <w:keepNext/>
              <w:spacing w:after="0" w:line="240" w:lineRule="auto"/>
              <w:jc w:val="right"/>
              <w:rPr>
                <w:color w:val="000000"/>
              </w:rPr>
            </w:pPr>
            <w:r w:rsidRPr="00CB2605">
              <w:rPr>
                <w:color w:val="000000"/>
              </w:rPr>
              <w:t>5</w:t>
            </w:r>
          </w:p>
        </w:tc>
      </w:tr>
      <w:tr w:rsidR="008A1211" w:rsidRPr="009750C8">
        <w:trPr>
          <w:trHeight w:val="300"/>
        </w:trPr>
        <w:tc>
          <w:tcPr>
            <w:tcW w:w="3742" w:type="dxa"/>
            <w:tcBorders>
              <w:top w:val="nil"/>
              <w:left w:val="nil"/>
              <w:right w:val="nil"/>
            </w:tcBorders>
            <w:noWrap/>
            <w:vAlign w:val="bottom"/>
          </w:tcPr>
          <w:p w:rsidR="008A1211" w:rsidRPr="00572492" w:rsidRDefault="008A1211" w:rsidP="00F16777">
            <w:pPr>
              <w:pStyle w:val="Normln-tabulka"/>
              <w:keepNext/>
            </w:pPr>
            <w:r>
              <w:t>P</w:t>
            </w:r>
            <w:r w:rsidRPr="00572492">
              <w:t>říliš zaměřené na teoretickou stránku věci.</w:t>
            </w:r>
          </w:p>
        </w:tc>
        <w:tc>
          <w:tcPr>
            <w:tcW w:w="960" w:type="dxa"/>
            <w:tcBorders>
              <w:top w:val="nil"/>
              <w:left w:val="nil"/>
              <w:right w:val="nil"/>
            </w:tcBorders>
            <w:noWrap/>
            <w:vAlign w:val="bottom"/>
          </w:tcPr>
          <w:p w:rsidR="008A1211" w:rsidRPr="00572492" w:rsidRDefault="008A1211" w:rsidP="00F16777">
            <w:pPr>
              <w:pStyle w:val="Normln-tabulka"/>
              <w:keepNext/>
              <w:jc w:val="right"/>
            </w:pPr>
            <w:r w:rsidRPr="00572492">
              <w:t>24</w:t>
            </w:r>
          </w:p>
        </w:tc>
        <w:tc>
          <w:tcPr>
            <w:tcW w:w="960" w:type="dxa"/>
            <w:tcBorders>
              <w:top w:val="nil"/>
              <w:left w:val="nil"/>
              <w:right w:val="single" w:sz="4" w:space="0" w:color="auto"/>
            </w:tcBorders>
            <w:noWrap/>
            <w:vAlign w:val="bottom"/>
          </w:tcPr>
          <w:p w:rsidR="008A1211" w:rsidRPr="00572492" w:rsidRDefault="008A1211" w:rsidP="00F16777">
            <w:pPr>
              <w:pStyle w:val="Normln-tabulka"/>
              <w:keepNext/>
              <w:jc w:val="right"/>
            </w:pPr>
            <w:r w:rsidRPr="00572492">
              <w:t>4</w:t>
            </w:r>
            <w:r>
              <w:t>3</w:t>
            </w:r>
          </w:p>
        </w:tc>
        <w:tc>
          <w:tcPr>
            <w:tcW w:w="1361" w:type="dxa"/>
            <w:tcBorders>
              <w:top w:val="nil"/>
              <w:left w:val="single" w:sz="4" w:space="0" w:color="auto"/>
              <w:right w:val="nil"/>
            </w:tcBorders>
            <w:vAlign w:val="bottom"/>
          </w:tcPr>
          <w:p w:rsidR="008A1211" w:rsidRPr="00CB2605" w:rsidRDefault="008A1211" w:rsidP="00F16777">
            <w:pPr>
              <w:keepNext/>
              <w:spacing w:after="0" w:line="240" w:lineRule="auto"/>
              <w:jc w:val="right"/>
              <w:rPr>
                <w:color w:val="000000"/>
              </w:rPr>
            </w:pPr>
            <w:r w:rsidRPr="00CB2605">
              <w:rPr>
                <w:color w:val="000000"/>
              </w:rPr>
              <w:t>27</w:t>
            </w:r>
          </w:p>
        </w:tc>
        <w:tc>
          <w:tcPr>
            <w:tcW w:w="1361" w:type="dxa"/>
            <w:tcBorders>
              <w:top w:val="nil"/>
              <w:left w:val="nil"/>
              <w:right w:val="nil"/>
            </w:tcBorders>
            <w:vAlign w:val="bottom"/>
          </w:tcPr>
          <w:p w:rsidR="008A1211" w:rsidRPr="00CB2605" w:rsidRDefault="008A1211" w:rsidP="00F16777">
            <w:pPr>
              <w:keepNext/>
              <w:spacing w:after="0" w:line="240" w:lineRule="auto"/>
              <w:jc w:val="right"/>
              <w:rPr>
                <w:color w:val="000000"/>
              </w:rPr>
            </w:pPr>
            <w:r w:rsidRPr="00CB2605">
              <w:rPr>
                <w:color w:val="000000"/>
              </w:rPr>
              <w:t>47</w:t>
            </w:r>
          </w:p>
        </w:tc>
      </w:tr>
      <w:tr w:rsidR="008A1211" w:rsidRPr="009750C8">
        <w:trPr>
          <w:trHeight w:val="300"/>
        </w:trPr>
        <w:tc>
          <w:tcPr>
            <w:tcW w:w="3742" w:type="dxa"/>
            <w:tcBorders>
              <w:top w:val="nil"/>
              <w:left w:val="nil"/>
              <w:bottom w:val="single" w:sz="4" w:space="0" w:color="auto"/>
              <w:right w:val="nil"/>
            </w:tcBorders>
            <w:noWrap/>
            <w:vAlign w:val="bottom"/>
          </w:tcPr>
          <w:p w:rsidR="008A1211" w:rsidRPr="00572492" w:rsidRDefault="008A1211" w:rsidP="00F16777">
            <w:pPr>
              <w:pStyle w:val="Normln-tabulka"/>
              <w:keepNext/>
            </w:pPr>
            <w:r w:rsidRPr="00572492">
              <w:t>Poměr praktické a teoretické stránky přiměřený.</w:t>
            </w:r>
          </w:p>
        </w:tc>
        <w:tc>
          <w:tcPr>
            <w:tcW w:w="960" w:type="dxa"/>
            <w:tcBorders>
              <w:top w:val="nil"/>
              <w:left w:val="nil"/>
              <w:bottom w:val="single" w:sz="4" w:space="0" w:color="auto"/>
              <w:right w:val="nil"/>
            </w:tcBorders>
            <w:noWrap/>
            <w:vAlign w:val="bottom"/>
          </w:tcPr>
          <w:p w:rsidR="008A1211" w:rsidRPr="00572492" w:rsidRDefault="008A1211" w:rsidP="00F16777">
            <w:pPr>
              <w:pStyle w:val="Normln-tabulka"/>
              <w:keepNext/>
              <w:jc w:val="right"/>
            </w:pPr>
            <w:r w:rsidRPr="00572492">
              <w:t>29</w:t>
            </w:r>
          </w:p>
        </w:tc>
        <w:tc>
          <w:tcPr>
            <w:tcW w:w="960" w:type="dxa"/>
            <w:tcBorders>
              <w:top w:val="nil"/>
              <w:left w:val="nil"/>
              <w:bottom w:val="single" w:sz="4" w:space="0" w:color="auto"/>
              <w:right w:val="single" w:sz="4" w:space="0" w:color="auto"/>
            </w:tcBorders>
            <w:noWrap/>
            <w:vAlign w:val="bottom"/>
          </w:tcPr>
          <w:p w:rsidR="008A1211" w:rsidRPr="00572492" w:rsidRDefault="008A1211" w:rsidP="00F16777">
            <w:pPr>
              <w:pStyle w:val="Normln-tabulka"/>
              <w:keepNext/>
              <w:jc w:val="right"/>
            </w:pPr>
            <w:r w:rsidRPr="00572492">
              <w:t>5</w:t>
            </w:r>
            <w:r>
              <w:t>3</w:t>
            </w:r>
          </w:p>
        </w:tc>
        <w:tc>
          <w:tcPr>
            <w:tcW w:w="1361" w:type="dxa"/>
            <w:tcBorders>
              <w:top w:val="nil"/>
              <w:left w:val="single" w:sz="4" w:space="0" w:color="auto"/>
              <w:bottom w:val="single" w:sz="4" w:space="0" w:color="auto"/>
              <w:right w:val="nil"/>
            </w:tcBorders>
            <w:vAlign w:val="bottom"/>
          </w:tcPr>
          <w:p w:rsidR="008A1211" w:rsidRPr="00CB2605" w:rsidRDefault="008A1211" w:rsidP="00F16777">
            <w:pPr>
              <w:keepNext/>
              <w:spacing w:after="0" w:line="240" w:lineRule="auto"/>
              <w:jc w:val="right"/>
              <w:rPr>
                <w:color w:val="000000"/>
              </w:rPr>
            </w:pPr>
            <w:r w:rsidRPr="00CB2605">
              <w:rPr>
                <w:color w:val="000000"/>
              </w:rPr>
              <w:t>73</w:t>
            </w:r>
          </w:p>
        </w:tc>
        <w:tc>
          <w:tcPr>
            <w:tcW w:w="1361" w:type="dxa"/>
            <w:tcBorders>
              <w:top w:val="nil"/>
              <w:left w:val="nil"/>
              <w:bottom w:val="single" w:sz="4" w:space="0" w:color="auto"/>
              <w:right w:val="nil"/>
            </w:tcBorders>
            <w:vAlign w:val="bottom"/>
          </w:tcPr>
          <w:p w:rsidR="008A1211" w:rsidRPr="00CB2605" w:rsidRDefault="008A1211" w:rsidP="00F16777">
            <w:pPr>
              <w:keepNext/>
              <w:spacing w:after="0" w:line="240" w:lineRule="auto"/>
              <w:jc w:val="right"/>
              <w:rPr>
                <w:color w:val="000000"/>
              </w:rPr>
            </w:pPr>
            <w:r w:rsidRPr="00CB2605">
              <w:rPr>
                <w:color w:val="000000"/>
              </w:rPr>
              <w:t>49</w:t>
            </w:r>
          </w:p>
        </w:tc>
      </w:tr>
    </w:tbl>
    <w:p w:rsidR="008A1211" w:rsidRDefault="008A1211" w:rsidP="00FC33B8">
      <w:r>
        <w:t>N = 55</w:t>
      </w:r>
    </w:p>
    <w:p w:rsidR="008A1211" w:rsidRDefault="008A1211" w:rsidP="00CB2605">
      <w:r>
        <w:t xml:space="preserve">Část studentů přichází studovat obor s očekáváním ryze praktického studia, které je připraví pro zvládání </w:t>
      </w:r>
      <w:r w:rsidR="00D6141A">
        <w:t>konkrétních</w:t>
      </w:r>
      <w:r>
        <w:t xml:space="preserve"> situací při řízení neziskové organizace. Jsou potom zklamaní, když zjistí, že předmětům orientovaným na p</w:t>
      </w:r>
      <w:r w:rsidR="00D6141A">
        <w:t xml:space="preserve">raxi není věnován celý prostor. Koncepce oboru však vychází z toho, že na </w:t>
      </w:r>
      <w:r>
        <w:t>magistersk</w:t>
      </w:r>
      <w:r w:rsidR="00D6141A">
        <w:t>é úrovni je</w:t>
      </w:r>
      <w:r>
        <w:t xml:space="preserve"> důležité zprostředkovat studentům ucelené teoretické zázemí pro porozumění aktuální</w:t>
      </w:r>
      <w:r w:rsidR="00D6141A">
        <w:t xml:space="preserve"> situaci ob</w:t>
      </w:r>
      <w:r>
        <w:t>čanské společnosti i problémům spojeným s</w:t>
      </w:r>
      <w:r w:rsidR="00D6141A">
        <w:t> </w:t>
      </w:r>
      <w:r>
        <w:t>fungováním</w:t>
      </w:r>
      <w:r w:rsidR="00D6141A">
        <w:t xml:space="preserve"> organizací.</w:t>
      </w:r>
      <w:r>
        <w:t xml:space="preserve"> Předpokládáme, že podstatnou část praktických dovedností </w:t>
      </w:r>
      <w:r w:rsidR="00D6141A">
        <w:t>lze</w:t>
      </w:r>
      <w:r>
        <w:t xml:space="preserve"> získat v kurzech pořádaných samotnými neziskovkami nebo v praxi v rámci stáží a posléze zaměstnání, zatímco teoretický a historický pohled na sektor </w:t>
      </w:r>
      <w:r w:rsidR="00D6141A">
        <w:t xml:space="preserve">je těžké si </w:t>
      </w:r>
      <w:r>
        <w:t xml:space="preserve">později </w:t>
      </w:r>
      <w:r w:rsidR="00D6141A">
        <w:t>doplnit</w:t>
      </w:r>
      <w:r>
        <w:t xml:space="preserve">. </w:t>
      </w:r>
      <w:r w:rsidR="00D6141A">
        <w:t>I</w:t>
      </w:r>
      <w:r>
        <w:t xml:space="preserve"> manažerské úkoly a praktické problémy lze řešit snáz, když si je umí</w:t>
      </w:r>
      <w:r w:rsidR="00D6141A">
        <w:t>me</w:t>
      </w:r>
      <w:r>
        <w:t xml:space="preserve"> zarámovat jako určité typy situací a problémů, jejichž „teoretické“ řešení </w:t>
      </w:r>
      <w:r w:rsidR="00D6141A">
        <w:t>známe</w:t>
      </w:r>
      <w:r>
        <w:t xml:space="preserve">.  </w:t>
      </w:r>
    </w:p>
    <w:p w:rsidR="008A1211" w:rsidRDefault="008A1211" w:rsidP="00CB1F49">
      <w:r>
        <w:t xml:space="preserve">Katedra považuje za důležité zlepšovat výuku prakticky orientovaných předmětů (projektové řízení, </w:t>
      </w:r>
      <w:r w:rsidR="00D6141A">
        <w:t>sociální marketing</w:t>
      </w:r>
      <w:r>
        <w:t xml:space="preserve"> apod.), ale zároveň věnuje úsilí kvalitě teoretických předmětů a aplikaci jejich poznatků na problémy neziskového sektoru</w:t>
      </w:r>
      <w:r w:rsidR="00D6141A">
        <w:t>. Je potěšující</w:t>
      </w:r>
      <w:r>
        <w:t>, když se najde nemálo bývalých studentů, kteří oceňují teoretickou část studia:</w:t>
      </w:r>
      <w:r w:rsidR="00D6141A">
        <w:t xml:space="preserve"> </w:t>
      </w:r>
      <w:r>
        <w:t>„Teoretické přístupy určitě převažovaly, nicméně nemyslím, že studium bylo PŘÍLIŠ zaměřeno na teorii. Spíš jsem se většinu praktických věcí naučila až praxí (jak už to tak ve většině prací bývá). (…) Co se teorie týče, byla a jsem za ni ráda, protože zatímco praktické věci se člověk v praxi naučí, příležitost studovat a diskutovat o tématech občanské společnosti s fundovanými lidmi má většinou jen na VŠ (a každodenní praxe pak způsobí, že se člověk ke studiu teorie jen málokdy přiměje).“</w:t>
      </w:r>
    </w:p>
    <w:p w:rsidR="008A1211" w:rsidRDefault="008A1211" w:rsidP="000A489F">
      <w:r>
        <w:t>Kromě konkrétních kurzů absolventi hodnotili i širší kontext znalostí, dovedností či obecných přínosů, které podle svého názoru během studia oboru získali (</w:t>
      </w:r>
      <w:r w:rsidR="00F66B53">
        <w:fldChar w:fldCharType="begin"/>
      </w:r>
      <w:r w:rsidR="00F66B53">
        <w:instrText xml:space="preserve"> REF _Ref352768156  \* lower</w:instrText>
      </w:r>
      <w:r w:rsidR="00F66B53">
        <w:fldChar w:fldCharType="separate"/>
      </w:r>
      <w:r>
        <w:t>graf A</w:t>
      </w:r>
      <w:r w:rsidR="00F66B53">
        <w:fldChar w:fldCharType="end"/>
      </w:r>
      <w:r>
        <w:t>). Nejčastěji oceňovali získání schopnosti porozumět společenským tématům v kontextu občanské společnosti (průměrná hodnota 82 na škále od 0 do 100), atmosféru na katedře (77) a schopnost psaní textů a práce s texty (74). Nadprůměrně hodnocen byl i rozvoj analytického myšlení (62) a získání užitečných známostí a kontaktů (60). Naopak průměrné úrovně dosahovalo ocenění schopnosti vést projekty (50) a spíše podprůměrně absolventi ohodnocovali přínos studia v oblasti vedení lidí a komunikačních dovedností (42).</w:t>
      </w:r>
    </w:p>
    <w:p w:rsidR="008A1211" w:rsidRDefault="008A1211" w:rsidP="00CB1F49">
      <w:pPr>
        <w:pStyle w:val="Titulek"/>
        <w:keepNext/>
      </w:pPr>
      <w:bookmarkStart w:id="3" w:name="_Ref352768156"/>
      <w:r>
        <w:lastRenderedPageBreak/>
        <w:t xml:space="preserve">Graf </w:t>
      </w:r>
      <w:bookmarkEnd w:id="3"/>
      <w:r>
        <w:t>A: Celkové hodnocení studia</w:t>
      </w:r>
    </w:p>
    <w:p w:rsidR="008A1211" w:rsidRPr="00641DB2" w:rsidRDefault="00CF1A05" w:rsidP="00CB1F4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2" o:spid="_x0000_i1025" type="#_x0000_t75" style="width:443.25pt;height:241.5pt;visibility:visible">
            <v:imagedata r:id="rId8" o:title=""/>
            <o:lock v:ext="edit" aspectratio="f"/>
          </v:shape>
        </w:pict>
      </w:r>
    </w:p>
    <w:p w:rsidR="008A1211" w:rsidRDefault="008A1211" w:rsidP="00CB1F49">
      <w:r>
        <w:t>N = 56</w:t>
      </w:r>
    </w:p>
    <w:p w:rsidR="008A1211" w:rsidRDefault="008A1211" w:rsidP="00FC33B8">
      <w:r>
        <w:t>Uvedené ohodnocení studia se podstatným způsobem neliší mezi studenty, kteří byli přijati do studia před rokem 2004 a po něm. Zdá se tedy, že v očích studentů jsou hodnocené charakteristiky oboru stabilní po celé období. Podobně shodné je hodnocení studia z pohledu prezenčních i kombinovaných studentů. Pouze vzhledem k povaze studia poněkud pochopitelně studenti prezenčního formy více oceňují atmosféru na katedře a také do určité míry i známosti a kontakty, které během studia získali.</w:t>
      </w:r>
    </w:p>
    <w:p w:rsidR="008A1211" w:rsidRDefault="008A1211" w:rsidP="000A489F">
      <w:r>
        <w:t>Diplomovou práci považujeme stále více za důležitou součást studia oboru, kde mohou studenti aplikovat získané teoretické znalosti při řešení výzkumných problémů v neziskovém sektoru. Proto jsme jí v průzkumu věnovali zvláštní část. Absolventi spatřují jako hlavní přínos diplomové práce především získání podstatných znalostí o řešeném tématu (61 % určitě souhlasí, 30 % spíše souhlasí, viz graf B). Podobně pozitivně hodnoceni byli i školitelé jako opora pro vypracování diplomové práce. Méně silný souhlas vyjádřili respondenti s výrokem, že během zpracování diplomové práce se naučili používat metody výzkumu (27 % určitě souhlasí, 54 % spíše souhlasí). I zde ale jednoznačně převažuje kladné hodnocení.</w:t>
      </w:r>
    </w:p>
    <w:p w:rsidR="008A1211" w:rsidRDefault="008A1211" w:rsidP="000A489F">
      <w:pPr>
        <w:pStyle w:val="Titulek"/>
        <w:keepNext/>
      </w:pPr>
      <w:bookmarkStart w:id="4" w:name="_Ref352768644"/>
      <w:r>
        <w:lastRenderedPageBreak/>
        <w:t>Graf B</w:t>
      </w:r>
      <w:bookmarkEnd w:id="4"/>
      <w:r>
        <w:t xml:space="preserve">: </w:t>
      </w:r>
      <w:r w:rsidRPr="003D02FA">
        <w:t>Hodnocení diplomové práce jako součást studia</w:t>
      </w:r>
    </w:p>
    <w:p w:rsidR="008A1211" w:rsidRDefault="00CF1A05" w:rsidP="000A489F">
      <w:pPr>
        <w:keepNext/>
        <w:spacing w:after="0"/>
      </w:pPr>
      <w:r>
        <w:rPr>
          <w:noProof/>
        </w:rPr>
        <w:pict>
          <v:shape id="Graf 1" o:spid="_x0000_i1026" type="#_x0000_t75" style="width:412.5pt;height:219.75pt;visibility:visible">
            <v:imagedata r:id="rId9" o:title="" cropbottom="-15f"/>
            <o:lock v:ext="edit" aspectratio="f"/>
          </v:shape>
        </w:pict>
      </w:r>
    </w:p>
    <w:p w:rsidR="008A1211" w:rsidRDefault="008A1211" w:rsidP="000A489F">
      <w:r>
        <w:t>N = 56</w:t>
      </w:r>
    </w:p>
    <w:p w:rsidR="008A1211" w:rsidRDefault="008A1211" w:rsidP="000A489F">
      <w:r>
        <w:t>Dvě třetiny respondentů vypracovali své diplomové práce pod vedením interního člena katedry. Zbývající třetina byla vedena externistou. Mezi těmito dvěma skupinami přitom nebyl statisticky významný rozdíl v hodnocení přínosu vypracování diplomové práce.</w:t>
      </w:r>
    </w:p>
    <w:p w:rsidR="00CF1A05" w:rsidRDefault="00CF1A05" w:rsidP="000A489F"/>
    <w:p w:rsidR="00CF1A05" w:rsidRDefault="00CF1A05" w:rsidP="000A489F"/>
    <w:p w:rsidR="00CF1A05" w:rsidRDefault="00CF1A05" w:rsidP="000A489F"/>
    <w:p w:rsidR="00CF1A05" w:rsidRPr="009B7B66" w:rsidRDefault="00CF1A05" w:rsidP="00CF1A05">
      <w:pPr>
        <w:rPr>
          <w:rFonts w:ascii="Arial" w:hAnsi="Arial" w:cs="Arial"/>
          <w:color w:val="000000"/>
          <w:sz w:val="18"/>
          <w:szCs w:val="18"/>
        </w:rPr>
      </w:pPr>
      <w:r w:rsidRPr="00C62189">
        <w:rPr>
          <w:rFonts w:ascii="Arial" w:hAnsi="Arial" w:cs="Arial"/>
          <w:color w:val="000000"/>
          <w:sz w:val="18"/>
          <w:szCs w:val="18"/>
        </w:rPr>
        <w:pict>
          <v:shape id="_x0000_i1027" type="#_x0000_t75" style="width:183pt;height:46.5pt">
            <v:imagedata r:id="rId10" o:title="3 loga_velikost_50"/>
          </v:shape>
        </w:pict>
      </w:r>
      <w:r w:rsidRPr="004D5EA3">
        <w:rPr>
          <w:rFonts w:ascii="Arial" w:hAnsi="Arial" w:cs="Arial"/>
          <w:color w:val="000000"/>
          <w:sz w:val="18"/>
          <w:szCs w:val="18"/>
        </w:rPr>
        <w:t xml:space="preserve"> </w:t>
      </w:r>
      <w:r>
        <w:rPr>
          <w:rFonts w:ascii="Arial" w:hAnsi="Arial" w:cs="Arial"/>
          <w:color w:val="000000"/>
          <w:sz w:val="18"/>
          <w:szCs w:val="18"/>
        </w:rPr>
        <w:t xml:space="preserve"> </w:t>
      </w:r>
      <w:r>
        <w:rPr>
          <w:rFonts w:ascii="Arial" w:hAnsi="Arial" w:cs="Arial"/>
          <w:color w:val="000000"/>
          <w:sz w:val="18"/>
          <w:szCs w:val="18"/>
        </w:rPr>
        <w:t xml:space="preserve">Praha </w:t>
      </w:r>
      <w:r>
        <w:rPr>
          <w:rFonts w:ascii="Arial" w:hAnsi="Arial" w:cs="Arial"/>
          <w:color w:val="000000"/>
          <w:sz w:val="18"/>
          <w:szCs w:val="18"/>
          <w:lang w:val="en-US"/>
        </w:rPr>
        <w:t>&amp;</w:t>
      </w:r>
      <w:r>
        <w:rPr>
          <w:rFonts w:ascii="Arial" w:hAnsi="Arial" w:cs="Arial"/>
          <w:color w:val="000000"/>
          <w:sz w:val="18"/>
          <w:szCs w:val="18"/>
        </w:rPr>
        <w:t xml:space="preserve"> EU: Investujeme do vaší budoucnosti</w:t>
      </w:r>
    </w:p>
    <w:p w:rsidR="00CF1A05" w:rsidRPr="005F48F8" w:rsidRDefault="00CF1A05" w:rsidP="00CF1A05">
      <w:pPr>
        <w:rPr>
          <w:b/>
        </w:rPr>
      </w:pPr>
      <w:r>
        <w:rPr>
          <w:rFonts w:ascii="Arial" w:hAnsi="Arial" w:cs="Arial"/>
          <w:b/>
          <w:color w:val="000000"/>
          <w:sz w:val="18"/>
          <w:szCs w:val="18"/>
        </w:rPr>
        <w:t>Zpracování</w:t>
      </w:r>
      <w:r w:rsidRPr="005F48F8">
        <w:rPr>
          <w:rFonts w:ascii="Arial" w:hAnsi="Arial" w:cs="Arial"/>
          <w:b/>
          <w:color w:val="000000"/>
          <w:sz w:val="18"/>
          <w:szCs w:val="18"/>
        </w:rPr>
        <w:t xml:space="preserve"> tohoto </w:t>
      </w:r>
      <w:r>
        <w:rPr>
          <w:rFonts w:ascii="Arial" w:hAnsi="Arial" w:cs="Arial"/>
          <w:b/>
          <w:color w:val="000000"/>
          <w:sz w:val="18"/>
          <w:szCs w:val="18"/>
        </w:rPr>
        <w:t>výzkumu</w:t>
      </w:r>
      <w:r w:rsidRPr="005F48F8">
        <w:rPr>
          <w:rFonts w:ascii="Arial" w:hAnsi="Arial" w:cs="Arial"/>
          <w:b/>
          <w:color w:val="000000"/>
          <w:sz w:val="18"/>
          <w:szCs w:val="18"/>
        </w:rPr>
        <w:t xml:space="preserve"> bylo financováno z operačního programu Praha - Adaptabilita, spolufinancovaného Evropským sociálním fondem.</w:t>
      </w:r>
    </w:p>
    <w:p w:rsidR="00CF1A05" w:rsidRDefault="00CF1A05" w:rsidP="00CF1A05">
      <w:pPr>
        <w:rPr>
          <w:rFonts w:ascii="Arial" w:hAnsi="Arial" w:cs="Arial"/>
          <w:b/>
        </w:rPr>
      </w:pPr>
    </w:p>
    <w:p w:rsidR="00CF1A05" w:rsidRDefault="00CF1A05" w:rsidP="000A489F">
      <w:bookmarkStart w:id="5" w:name="_GoBack"/>
      <w:bookmarkEnd w:id="5"/>
    </w:p>
    <w:sectPr w:rsidR="00CF1A05" w:rsidSect="00C96A0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1D3" w:rsidRDefault="00D741D3" w:rsidP="00FC33B8">
      <w:pPr>
        <w:spacing w:after="0" w:line="240" w:lineRule="auto"/>
      </w:pPr>
      <w:r>
        <w:separator/>
      </w:r>
    </w:p>
  </w:endnote>
  <w:endnote w:type="continuationSeparator" w:id="0">
    <w:p w:rsidR="00D741D3" w:rsidRDefault="00D741D3" w:rsidP="00FC3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11" w:rsidRDefault="00F66B53">
    <w:pPr>
      <w:pStyle w:val="Zpat"/>
      <w:jc w:val="right"/>
    </w:pPr>
    <w:r>
      <w:fldChar w:fldCharType="begin"/>
    </w:r>
    <w:r>
      <w:instrText>PAGE   \* MERGEFORMAT</w:instrText>
    </w:r>
    <w:r>
      <w:fldChar w:fldCharType="separate"/>
    </w:r>
    <w:r w:rsidR="00CF1A05">
      <w:rPr>
        <w:noProof/>
      </w:rPr>
      <w:t>5</w:t>
    </w:r>
    <w:r>
      <w:rPr>
        <w:noProof/>
      </w:rPr>
      <w:fldChar w:fldCharType="end"/>
    </w:r>
  </w:p>
  <w:p w:rsidR="008A1211" w:rsidRDefault="008A121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1D3" w:rsidRDefault="00D741D3" w:rsidP="00FC33B8">
      <w:pPr>
        <w:spacing w:after="0" w:line="240" w:lineRule="auto"/>
      </w:pPr>
      <w:r>
        <w:separator/>
      </w:r>
    </w:p>
  </w:footnote>
  <w:footnote w:type="continuationSeparator" w:id="0">
    <w:p w:rsidR="00D741D3" w:rsidRDefault="00D741D3" w:rsidP="00FC33B8">
      <w:pPr>
        <w:spacing w:after="0" w:line="240" w:lineRule="auto"/>
      </w:pPr>
      <w:r>
        <w:continuationSeparator/>
      </w:r>
    </w:p>
  </w:footnote>
  <w:footnote w:id="1">
    <w:p w:rsidR="008A1211" w:rsidRDefault="008A1211">
      <w:pPr>
        <w:pStyle w:val="Textpoznpodarou"/>
      </w:pPr>
      <w:r>
        <w:rPr>
          <w:rStyle w:val="Znakapoznpodarou"/>
        </w:rPr>
        <w:footnoteRef/>
      </w:r>
      <w:r>
        <w:t>Založeno na textu: Pospíšilová, Tereza, Špaček, Ondřej (2013). Závěrečná výzkumná zpráva z výzkumu absolventů 2012. Interní materiál Katedry studií občanské společnosti FHS UK v Praze.</w:t>
      </w:r>
    </w:p>
  </w:footnote>
  <w:footnote w:id="2">
    <w:p w:rsidR="008A1211" w:rsidRDefault="008A1211" w:rsidP="002A4A11">
      <w:pPr>
        <w:spacing w:line="240" w:lineRule="auto"/>
      </w:pPr>
      <w:r w:rsidRPr="001637E7">
        <w:rPr>
          <w:rStyle w:val="Znakapoznpodarou"/>
          <w:sz w:val="20"/>
          <w:szCs w:val="20"/>
        </w:rPr>
        <w:footnoteRef/>
      </w:r>
      <w:r w:rsidRPr="001637E7">
        <w:rPr>
          <w:sz w:val="20"/>
          <w:szCs w:val="20"/>
        </w:rPr>
        <w:t xml:space="preserve"> Když </w:t>
      </w:r>
      <w:r>
        <w:rPr>
          <w:sz w:val="20"/>
          <w:szCs w:val="20"/>
        </w:rPr>
        <w:t xml:space="preserve">to </w:t>
      </w:r>
      <w:r w:rsidRPr="001637E7">
        <w:rPr>
          <w:sz w:val="20"/>
          <w:szCs w:val="20"/>
        </w:rPr>
        <w:t>srovnáme s průzkumem v roce 2007, byla současná míra návratnosti mírně vyšší. Tehdy se z celkového počtu 125 absolventů podařilo úspěšně zkontaktovat 116 a návratnost činila 24 % (28 vyplněných odpovědí).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5B59"/>
    <w:multiLevelType w:val="hybridMultilevel"/>
    <w:tmpl w:val="3FF864E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2D78151E"/>
    <w:multiLevelType w:val="hybridMultilevel"/>
    <w:tmpl w:val="FDD8E522"/>
    <w:lvl w:ilvl="0" w:tplc="7FFC5D0C">
      <w:start w:val="1"/>
      <w:numFmt w:val="lowerLetter"/>
      <w:lvlText w:val="%1)"/>
      <w:lvlJc w:val="left"/>
      <w:pPr>
        <w:ind w:left="1065" w:hanging="705"/>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2DAF3D0F"/>
    <w:multiLevelType w:val="hybridMultilevel"/>
    <w:tmpl w:val="13D4FD8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2EFB08B9"/>
    <w:multiLevelType w:val="hybridMultilevel"/>
    <w:tmpl w:val="C26E76EC"/>
    <w:lvl w:ilvl="0" w:tplc="7FFC5D0C">
      <w:start w:val="1"/>
      <w:numFmt w:val="lowerLetter"/>
      <w:lvlText w:val="%1)"/>
      <w:lvlJc w:val="left"/>
      <w:pPr>
        <w:ind w:left="705" w:hanging="705"/>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nsid w:val="4B2A4479"/>
    <w:multiLevelType w:val="hybridMultilevel"/>
    <w:tmpl w:val="13D4FD8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5A122C9A"/>
    <w:multiLevelType w:val="hybridMultilevel"/>
    <w:tmpl w:val="E648F3FE"/>
    <w:lvl w:ilvl="0" w:tplc="1F16F112">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62E375AE"/>
    <w:multiLevelType w:val="hybridMultilevel"/>
    <w:tmpl w:val="75CC944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63E766F8"/>
    <w:multiLevelType w:val="hybridMultilevel"/>
    <w:tmpl w:val="F43E9EF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nsid w:val="7C215F80"/>
    <w:multiLevelType w:val="hybridMultilevel"/>
    <w:tmpl w:val="13D4FD8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6"/>
  </w:num>
  <w:num w:numId="2">
    <w:abstractNumId w:val="7"/>
  </w:num>
  <w:num w:numId="3">
    <w:abstractNumId w:val="1"/>
  </w:num>
  <w:num w:numId="4">
    <w:abstractNumId w:val="3"/>
  </w:num>
  <w:num w:numId="5">
    <w:abstractNumId w:val="2"/>
  </w:num>
  <w:num w:numId="6">
    <w:abstractNumId w:val="8"/>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33B8"/>
    <w:rsid w:val="00006626"/>
    <w:rsid w:val="00006ACA"/>
    <w:rsid w:val="00014E06"/>
    <w:rsid w:val="00017D08"/>
    <w:rsid w:val="00031190"/>
    <w:rsid w:val="000509FD"/>
    <w:rsid w:val="00051D11"/>
    <w:rsid w:val="000533FF"/>
    <w:rsid w:val="00070D16"/>
    <w:rsid w:val="00076919"/>
    <w:rsid w:val="00093CC7"/>
    <w:rsid w:val="000A489F"/>
    <w:rsid w:val="000A62A4"/>
    <w:rsid w:val="000C3824"/>
    <w:rsid w:val="000D79E2"/>
    <w:rsid w:val="000E39FB"/>
    <w:rsid w:val="00115ED4"/>
    <w:rsid w:val="00130719"/>
    <w:rsid w:val="00142009"/>
    <w:rsid w:val="001637E7"/>
    <w:rsid w:val="00174208"/>
    <w:rsid w:val="00183721"/>
    <w:rsid w:val="00190696"/>
    <w:rsid w:val="001C3F69"/>
    <w:rsid w:val="001D03C5"/>
    <w:rsid w:val="001D3F5C"/>
    <w:rsid w:val="001E05D6"/>
    <w:rsid w:val="002127ED"/>
    <w:rsid w:val="00222DBD"/>
    <w:rsid w:val="00233A5B"/>
    <w:rsid w:val="00250E98"/>
    <w:rsid w:val="00251587"/>
    <w:rsid w:val="00294043"/>
    <w:rsid w:val="0029693C"/>
    <w:rsid w:val="002A101A"/>
    <w:rsid w:val="002A4A11"/>
    <w:rsid w:val="002B1AF1"/>
    <w:rsid w:val="002C19DB"/>
    <w:rsid w:val="002C4439"/>
    <w:rsid w:val="00300E65"/>
    <w:rsid w:val="00302E05"/>
    <w:rsid w:val="0034182D"/>
    <w:rsid w:val="00343437"/>
    <w:rsid w:val="003612B4"/>
    <w:rsid w:val="003A5EAB"/>
    <w:rsid w:val="003A6EEE"/>
    <w:rsid w:val="003C567C"/>
    <w:rsid w:val="003C58DD"/>
    <w:rsid w:val="003D02FA"/>
    <w:rsid w:val="003D36D2"/>
    <w:rsid w:val="003D429A"/>
    <w:rsid w:val="003D7441"/>
    <w:rsid w:val="003E7BB3"/>
    <w:rsid w:val="003F32CE"/>
    <w:rsid w:val="00402C33"/>
    <w:rsid w:val="00410C0F"/>
    <w:rsid w:val="00413D54"/>
    <w:rsid w:val="004218EA"/>
    <w:rsid w:val="00432DF6"/>
    <w:rsid w:val="00437C78"/>
    <w:rsid w:val="004752E5"/>
    <w:rsid w:val="00487090"/>
    <w:rsid w:val="004A1939"/>
    <w:rsid w:val="004C4A1F"/>
    <w:rsid w:val="004E2243"/>
    <w:rsid w:val="004E6284"/>
    <w:rsid w:val="00566A79"/>
    <w:rsid w:val="00572492"/>
    <w:rsid w:val="005760F1"/>
    <w:rsid w:val="005E7847"/>
    <w:rsid w:val="005F573A"/>
    <w:rsid w:val="00612A44"/>
    <w:rsid w:val="00614ECC"/>
    <w:rsid w:val="0062139A"/>
    <w:rsid w:val="00641DB2"/>
    <w:rsid w:val="00647943"/>
    <w:rsid w:val="00687BDD"/>
    <w:rsid w:val="00695AA7"/>
    <w:rsid w:val="006A2603"/>
    <w:rsid w:val="00701A17"/>
    <w:rsid w:val="00707A91"/>
    <w:rsid w:val="00724ACE"/>
    <w:rsid w:val="00733236"/>
    <w:rsid w:val="0073757B"/>
    <w:rsid w:val="00743F56"/>
    <w:rsid w:val="00744FBE"/>
    <w:rsid w:val="00755856"/>
    <w:rsid w:val="0076002F"/>
    <w:rsid w:val="00760635"/>
    <w:rsid w:val="00763FEB"/>
    <w:rsid w:val="00765307"/>
    <w:rsid w:val="00786339"/>
    <w:rsid w:val="00790DEA"/>
    <w:rsid w:val="00795BF8"/>
    <w:rsid w:val="007F113B"/>
    <w:rsid w:val="00800BB0"/>
    <w:rsid w:val="00806F9F"/>
    <w:rsid w:val="00820CA5"/>
    <w:rsid w:val="00830FCB"/>
    <w:rsid w:val="0084496B"/>
    <w:rsid w:val="008824C2"/>
    <w:rsid w:val="00896B70"/>
    <w:rsid w:val="008A1211"/>
    <w:rsid w:val="008B65A7"/>
    <w:rsid w:val="008C76DB"/>
    <w:rsid w:val="008F1C3C"/>
    <w:rsid w:val="009331CF"/>
    <w:rsid w:val="009750C8"/>
    <w:rsid w:val="009A1629"/>
    <w:rsid w:val="009B2EEF"/>
    <w:rsid w:val="009D429C"/>
    <w:rsid w:val="009E188F"/>
    <w:rsid w:val="009F4010"/>
    <w:rsid w:val="00A02808"/>
    <w:rsid w:val="00A56074"/>
    <w:rsid w:val="00A561CE"/>
    <w:rsid w:val="00AA5D4E"/>
    <w:rsid w:val="00AB352A"/>
    <w:rsid w:val="00AB4756"/>
    <w:rsid w:val="00AD39FB"/>
    <w:rsid w:val="00B354F8"/>
    <w:rsid w:val="00B41713"/>
    <w:rsid w:val="00B55922"/>
    <w:rsid w:val="00BB6BEF"/>
    <w:rsid w:val="00BC42C0"/>
    <w:rsid w:val="00BC4ECF"/>
    <w:rsid w:val="00BC7777"/>
    <w:rsid w:val="00BF05BF"/>
    <w:rsid w:val="00C04CFB"/>
    <w:rsid w:val="00C1416A"/>
    <w:rsid w:val="00C24DC6"/>
    <w:rsid w:val="00C4037F"/>
    <w:rsid w:val="00C575C7"/>
    <w:rsid w:val="00C74088"/>
    <w:rsid w:val="00C87222"/>
    <w:rsid w:val="00C91E11"/>
    <w:rsid w:val="00C96A00"/>
    <w:rsid w:val="00CA28F9"/>
    <w:rsid w:val="00CB1F49"/>
    <w:rsid w:val="00CB2605"/>
    <w:rsid w:val="00CC1FE4"/>
    <w:rsid w:val="00CE20C3"/>
    <w:rsid w:val="00CF082E"/>
    <w:rsid w:val="00CF1A05"/>
    <w:rsid w:val="00D6141A"/>
    <w:rsid w:val="00D741D3"/>
    <w:rsid w:val="00D772B7"/>
    <w:rsid w:val="00D8526E"/>
    <w:rsid w:val="00DA162D"/>
    <w:rsid w:val="00DB559D"/>
    <w:rsid w:val="00DD3F22"/>
    <w:rsid w:val="00E10CFD"/>
    <w:rsid w:val="00E23A9B"/>
    <w:rsid w:val="00E5318D"/>
    <w:rsid w:val="00EB44B0"/>
    <w:rsid w:val="00EE3237"/>
    <w:rsid w:val="00F10194"/>
    <w:rsid w:val="00F16777"/>
    <w:rsid w:val="00F45FB2"/>
    <w:rsid w:val="00F4742D"/>
    <w:rsid w:val="00F53A76"/>
    <w:rsid w:val="00F66B53"/>
    <w:rsid w:val="00F86108"/>
    <w:rsid w:val="00F94E90"/>
    <w:rsid w:val="00FA2DBD"/>
    <w:rsid w:val="00FA53A5"/>
    <w:rsid w:val="00FB5247"/>
    <w:rsid w:val="00FC3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4208"/>
    <w:pPr>
      <w:spacing w:after="200" w:line="276" w:lineRule="auto"/>
    </w:pPr>
    <w:rPr>
      <w:rFonts w:cs="Calibri"/>
      <w:sz w:val="22"/>
      <w:szCs w:val="22"/>
      <w:lang w:val="cs-CZ" w:eastAsia="cs-CZ"/>
    </w:rPr>
  </w:style>
  <w:style w:type="paragraph" w:styleId="Nadpis1">
    <w:name w:val="heading 1"/>
    <w:basedOn w:val="Normln"/>
    <w:next w:val="Normln"/>
    <w:link w:val="Nadpis1Char"/>
    <w:uiPriority w:val="99"/>
    <w:qFormat/>
    <w:rsid w:val="00E23A9B"/>
    <w:pPr>
      <w:keepNext/>
      <w:keepLines/>
      <w:spacing w:before="480" w:after="0"/>
      <w:outlineLvl w:val="0"/>
    </w:pPr>
    <w:rPr>
      <w:rFonts w:ascii="Cambria" w:hAnsi="Cambria" w:cs="Cambria"/>
      <w:b/>
      <w:bCs/>
      <w:color w:val="365F91"/>
      <w:sz w:val="28"/>
      <w:szCs w:val="28"/>
    </w:rPr>
  </w:style>
  <w:style w:type="paragraph" w:styleId="Nadpis2">
    <w:name w:val="heading 2"/>
    <w:basedOn w:val="Normln"/>
    <w:next w:val="Normln"/>
    <w:link w:val="Nadpis2Char"/>
    <w:uiPriority w:val="99"/>
    <w:qFormat/>
    <w:rsid w:val="00765307"/>
    <w:pPr>
      <w:keepNext/>
      <w:keepLines/>
      <w:spacing w:before="200" w:after="0"/>
      <w:outlineLvl w:val="1"/>
    </w:pPr>
    <w:rPr>
      <w:rFonts w:ascii="Cambria" w:hAnsi="Cambria" w:cs="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E23A9B"/>
    <w:rPr>
      <w:rFonts w:ascii="Cambria" w:hAnsi="Cambria" w:cs="Cambria"/>
      <w:b/>
      <w:bCs/>
      <w:color w:val="365F91"/>
      <w:sz w:val="28"/>
      <w:szCs w:val="28"/>
    </w:rPr>
  </w:style>
  <w:style w:type="character" w:customStyle="1" w:styleId="Nadpis2Char">
    <w:name w:val="Nadpis 2 Char"/>
    <w:link w:val="Nadpis2"/>
    <w:uiPriority w:val="99"/>
    <w:locked/>
    <w:rsid w:val="00765307"/>
    <w:rPr>
      <w:rFonts w:ascii="Cambria" w:hAnsi="Cambria" w:cs="Cambria"/>
      <w:b/>
      <w:bCs/>
      <w:color w:val="4F81BD"/>
      <w:sz w:val="26"/>
      <w:szCs w:val="26"/>
    </w:rPr>
  </w:style>
  <w:style w:type="paragraph" w:styleId="Textbubliny">
    <w:name w:val="Balloon Text"/>
    <w:basedOn w:val="Normln"/>
    <w:link w:val="TextbublinyChar"/>
    <w:uiPriority w:val="99"/>
    <w:semiHidden/>
    <w:rsid w:val="00FC33B8"/>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FC33B8"/>
    <w:rPr>
      <w:rFonts w:ascii="Tahoma" w:hAnsi="Tahoma" w:cs="Tahoma"/>
      <w:sz w:val="16"/>
      <w:szCs w:val="16"/>
    </w:rPr>
  </w:style>
  <w:style w:type="paragraph" w:styleId="Textpoznpodarou">
    <w:name w:val="footnote text"/>
    <w:basedOn w:val="Normln"/>
    <w:link w:val="TextpoznpodarouChar"/>
    <w:uiPriority w:val="99"/>
    <w:semiHidden/>
    <w:rsid w:val="00FC33B8"/>
    <w:pPr>
      <w:spacing w:after="0" w:line="240" w:lineRule="auto"/>
    </w:pPr>
    <w:rPr>
      <w:sz w:val="20"/>
      <w:szCs w:val="20"/>
    </w:rPr>
  </w:style>
  <w:style w:type="character" w:customStyle="1" w:styleId="TextpoznpodarouChar">
    <w:name w:val="Text pozn. pod čarou Char"/>
    <w:link w:val="Textpoznpodarou"/>
    <w:uiPriority w:val="99"/>
    <w:semiHidden/>
    <w:locked/>
    <w:rsid w:val="00FC33B8"/>
    <w:rPr>
      <w:sz w:val="20"/>
      <w:szCs w:val="20"/>
    </w:rPr>
  </w:style>
  <w:style w:type="character" w:styleId="Znakapoznpodarou">
    <w:name w:val="footnote reference"/>
    <w:uiPriority w:val="99"/>
    <w:semiHidden/>
    <w:rsid w:val="00FC33B8"/>
    <w:rPr>
      <w:vertAlign w:val="superscript"/>
    </w:rPr>
  </w:style>
  <w:style w:type="paragraph" w:styleId="Odstavecseseznamem">
    <w:name w:val="List Paragraph"/>
    <w:basedOn w:val="Normln"/>
    <w:uiPriority w:val="99"/>
    <w:qFormat/>
    <w:rsid w:val="00CA28F9"/>
    <w:pPr>
      <w:ind w:left="720"/>
    </w:pPr>
  </w:style>
  <w:style w:type="paragraph" w:styleId="Titulek">
    <w:name w:val="caption"/>
    <w:basedOn w:val="Normln"/>
    <w:next w:val="Normln"/>
    <w:uiPriority w:val="99"/>
    <w:qFormat/>
    <w:rsid w:val="003C567C"/>
    <w:pPr>
      <w:spacing w:line="240" w:lineRule="auto"/>
    </w:pPr>
    <w:rPr>
      <w:b/>
      <w:bCs/>
    </w:rPr>
  </w:style>
  <w:style w:type="paragraph" w:customStyle="1" w:styleId="Rmeek">
    <w:name w:val="Rámeček"/>
    <w:basedOn w:val="Normln"/>
    <w:uiPriority w:val="99"/>
    <w:rsid w:val="00FB5247"/>
    <w:pPr>
      <w:pBdr>
        <w:top w:val="single" w:sz="4" w:space="1" w:color="auto"/>
        <w:left w:val="single" w:sz="4" w:space="4" w:color="auto"/>
        <w:bottom w:val="single" w:sz="4" w:space="1" w:color="auto"/>
        <w:right w:val="single" w:sz="4" w:space="4" w:color="auto"/>
      </w:pBdr>
    </w:pPr>
  </w:style>
  <w:style w:type="paragraph" w:customStyle="1" w:styleId="Rmeek-nadpis">
    <w:name w:val="Rámeček - nadpis"/>
    <w:basedOn w:val="Rmeek"/>
    <w:uiPriority w:val="99"/>
    <w:rsid w:val="00FB5247"/>
    <w:pPr>
      <w:spacing w:before="240" w:after="120"/>
    </w:pPr>
    <w:rPr>
      <w:b/>
      <w:bCs/>
    </w:rPr>
  </w:style>
  <w:style w:type="paragraph" w:customStyle="1" w:styleId="Normln-tabulka">
    <w:name w:val="Normální - tabulka"/>
    <w:basedOn w:val="Normln"/>
    <w:uiPriority w:val="99"/>
    <w:rsid w:val="00FB5247"/>
    <w:pPr>
      <w:spacing w:after="0" w:line="240" w:lineRule="auto"/>
    </w:pPr>
    <w:rPr>
      <w:color w:val="000000"/>
    </w:rPr>
  </w:style>
  <w:style w:type="paragraph" w:customStyle="1" w:styleId="Normln-tabulka-sla">
    <w:name w:val="Normální - tabulka-čísla"/>
    <w:basedOn w:val="Normln-tabulka"/>
    <w:uiPriority w:val="99"/>
    <w:rsid w:val="0062139A"/>
    <w:pPr>
      <w:ind w:right="851"/>
      <w:jc w:val="right"/>
    </w:pPr>
  </w:style>
  <w:style w:type="paragraph" w:styleId="Zhlav">
    <w:name w:val="header"/>
    <w:basedOn w:val="Normln"/>
    <w:link w:val="ZhlavChar"/>
    <w:uiPriority w:val="99"/>
    <w:rsid w:val="00C96A00"/>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C96A00"/>
  </w:style>
  <w:style w:type="paragraph" w:styleId="Zpat">
    <w:name w:val="footer"/>
    <w:basedOn w:val="Normln"/>
    <w:link w:val="ZpatChar"/>
    <w:uiPriority w:val="99"/>
    <w:rsid w:val="00C96A00"/>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C96A00"/>
  </w:style>
  <w:style w:type="character" w:styleId="Odkaznakoment">
    <w:name w:val="annotation reference"/>
    <w:uiPriority w:val="99"/>
    <w:semiHidden/>
    <w:rsid w:val="00EE3237"/>
    <w:rPr>
      <w:sz w:val="16"/>
      <w:szCs w:val="16"/>
    </w:rPr>
  </w:style>
  <w:style w:type="paragraph" w:styleId="Textkomente">
    <w:name w:val="annotation text"/>
    <w:basedOn w:val="Normln"/>
    <w:link w:val="TextkomenteChar"/>
    <w:uiPriority w:val="99"/>
    <w:semiHidden/>
    <w:rsid w:val="00EE3237"/>
    <w:pPr>
      <w:spacing w:line="240" w:lineRule="auto"/>
    </w:pPr>
    <w:rPr>
      <w:sz w:val="20"/>
      <w:szCs w:val="20"/>
    </w:rPr>
  </w:style>
  <w:style w:type="character" w:customStyle="1" w:styleId="TextkomenteChar">
    <w:name w:val="Text komentáře Char"/>
    <w:link w:val="Textkomente"/>
    <w:uiPriority w:val="99"/>
    <w:semiHidden/>
    <w:locked/>
    <w:rsid w:val="00EE3237"/>
    <w:rPr>
      <w:sz w:val="20"/>
      <w:szCs w:val="20"/>
    </w:rPr>
  </w:style>
  <w:style w:type="paragraph" w:styleId="Pedmtkomente">
    <w:name w:val="annotation subject"/>
    <w:basedOn w:val="Textkomente"/>
    <w:next w:val="Textkomente"/>
    <w:link w:val="PedmtkomenteChar"/>
    <w:uiPriority w:val="99"/>
    <w:semiHidden/>
    <w:rsid w:val="00EE3237"/>
    <w:rPr>
      <w:b/>
      <w:bCs/>
    </w:rPr>
  </w:style>
  <w:style w:type="character" w:customStyle="1" w:styleId="PedmtkomenteChar">
    <w:name w:val="Předmět komentáře Char"/>
    <w:link w:val="Pedmtkomente"/>
    <w:uiPriority w:val="99"/>
    <w:semiHidden/>
    <w:locked/>
    <w:rsid w:val="00EE323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33199">
      <w:marLeft w:val="0"/>
      <w:marRight w:val="0"/>
      <w:marTop w:val="0"/>
      <w:marBottom w:val="0"/>
      <w:divBdr>
        <w:top w:val="none" w:sz="0" w:space="0" w:color="auto"/>
        <w:left w:val="none" w:sz="0" w:space="0" w:color="auto"/>
        <w:bottom w:val="none" w:sz="0" w:space="0" w:color="auto"/>
        <w:right w:val="none" w:sz="0" w:space="0" w:color="auto"/>
      </w:divBdr>
    </w:div>
    <w:div w:id="349333200">
      <w:marLeft w:val="0"/>
      <w:marRight w:val="0"/>
      <w:marTop w:val="0"/>
      <w:marBottom w:val="0"/>
      <w:divBdr>
        <w:top w:val="none" w:sz="0" w:space="0" w:color="auto"/>
        <w:left w:val="none" w:sz="0" w:space="0" w:color="auto"/>
        <w:bottom w:val="none" w:sz="0" w:space="0" w:color="auto"/>
        <w:right w:val="none" w:sz="0" w:space="0" w:color="auto"/>
      </w:divBdr>
    </w:div>
    <w:div w:id="349333201">
      <w:marLeft w:val="0"/>
      <w:marRight w:val="0"/>
      <w:marTop w:val="0"/>
      <w:marBottom w:val="0"/>
      <w:divBdr>
        <w:top w:val="none" w:sz="0" w:space="0" w:color="auto"/>
        <w:left w:val="none" w:sz="0" w:space="0" w:color="auto"/>
        <w:bottom w:val="none" w:sz="0" w:space="0" w:color="auto"/>
        <w:right w:val="none" w:sz="0" w:space="0" w:color="auto"/>
      </w:divBdr>
    </w:div>
    <w:div w:id="349333202">
      <w:marLeft w:val="0"/>
      <w:marRight w:val="0"/>
      <w:marTop w:val="0"/>
      <w:marBottom w:val="0"/>
      <w:divBdr>
        <w:top w:val="none" w:sz="0" w:space="0" w:color="auto"/>
        <w:left w:val="none" w:sz="0" w:space="0" w:color="auto"/>
        <w:bottom w:val="none" w:sz="0" w:space="0" w:color="auto"/>
        <w:right w:val="none" w:sz="0" w:space="0" w:color="auto"/>
      </w:divBdr>
    </w:div>
    <w:div w:id="349333203">
      <w:marLeft w:val="0"/>
      <w:marRight w:val="0"/>
      <w:marTop w:val="0"/>
      <w:marBottom w:val="0"/>
      <w:divBdr>
        <w:top w:val="none" w:sz="0" w:space="0" w:color="auto"/>
        <w:left w:val="none" w:sz="0" w:space="0" w:color="auto"/>
        <w:bottom w:val="none" w:sz="0" w:space="0" w:color="auto"/>
        <w:right w:val="none" w:sz="0" w:space="0" w:color="auto"/>
      </w:divBdr>
    </w:div>
    <w:div w:id="349333204">
      <w:marLeft w:val="0"/>
      <w:marRight w:val="0"/>
      <w:marTop w:val="0"/>
      <w:marBottom w:val="0"/>
      <w:divBdr>
        <w:top w:val="none" w:sz="0" w:space="0" w:color="auto"/>
        <w:left w:val="none" w:sz="0" w:space="0" w:color="auto"/>
        <w:bottom w:val="none" w:sz="0" w:space="0" w:color="auto"/>
        <w:right w:val="none" w:sz="0" w:space="0" w:color="auto"/>
      </w:divBdr>
    </w:div>
    <w:div w:id="349333205">
      <w:marLeft w:val="0"/>
      <w:marRight w:val="0"/>
      <w:marTop w:val="0"/>
      <w:marBottom w:val="0"/>
      <w:divBdr>
        <w:top w:val="none" w:sz="0" w:space="0" w:color="auto"/>
        <w:left w:val="none" w:sz="0" w:space="0" w:color="auto"/>
        <w:bottom w:val="none" w:sz="0" w:space="0" w:color="auto"/>
        <w:right w:val="none" w:sz="0" w:space="0" w:color="auto"/>
      </w:divBdr>
    </w:div>
    <w:div w:id="349333206">
      <w:marLeft w:val="0"/>
      <w:marRight w:val="0"/>
      <w:marTop w:val="0"/>
      <w:marBottom w:val="0"/>
      <w:divBdr>
        <w:top w:val="none" w:sz="0" w:space="0" w:color="auto"/>
        <w:left w:val="none" w:sz="0" w:space="0" w:color="auto"/>
        <w:bottom w:val="none" w:sz="0" w:space="0" w:color="auto"/>
        <w:right w:val="none" w:sz="0" w:space="0" w:color="auto"/>
      </w:divBdr>
    </w:div>
    <w:div w:id="349333207">
      <w:marLeft w:val="0"/>
      <w:marRight w:val="0"/>
      <w:marTop w:val="0"/>
      <w:marBottom w:val="0"/>
      <w:divBdr>
        <w:top w:val="none" w:sz="0" w:space="0" w:color="auto"/>
        <w:left w:val="none" w:sz="0" w:space="0" w:color="auto"/>
        <w:bottom w:val="none" w:sz="0" w:space="0" w:color="auto"/>
        <w:right w:val="none" w:sz="0" w:space="0" w:color="auto"/>
      </w:divBdr>
    </w:div>
    <w:div w:id="349333208">
      <w:marLeft w:val="0"/>
      <w:marRight w:val="0"/>
      <w:marTop w:val="0"/>
      <w:marBottom w:val="0"/>
      <w:divBdr>
        <w:top w:val="none" w:sz="0" w:space="0" w:color="auto"/>
        <w:left w:val="none" w:sz="0" w:space="0" w:color="auto"/>
        <w:bottom w:val="none" w:sz="0" w:space="0" w:color="auto"/>
        <w:right w:val="none" w:sz="0" w:space="0" w:color="auto"/>
      </w:divBdr>
    </w:div>
    <w:div w:id="349333209">
      <w:marLeft w:val="0"/>
      <w:marRight w:val="0"/>
      <w:marTop w:val="0"/>
      <w:marBottom w:val="0"/>
      <w:divBdr>
        <w:top w:val="none" w:sz="0" w:space="0" w:color="auto"/>
        <w:left w:val="none" w:sz="0" w:space="0" w:color="auto"/>
        <w:bottom w:val="none" w:sz="0" w:space="0" w:color="auto"/>
        <w:right w:val="none" w:sz="0" w:space="0" w:color="auto"/>
      </w:divBdr>
    </w:div>
    <w:div w:id="349333210">
      <w:marLeft w:val="0"/>
      <w:marRight w:val="0"/>
      <w:marTop w:val="0"/>
      <w:marBottom w:val="0"/>
      <w:divBdr>
        <w:top w:val="none" w:sz="0" w:space="0" w:color="auto"/>
        <w:left w:val="none" w:sz="0" w:space="0" w:color="auto"/>
        <w:bottom w:val="none" w:sz="0" w:space="0" w:color="auto"/>
        <w:right w:val="none" w:sz="0" w:space="0" w:color="auto"/>
      </w:divBdr>
    </w:div>
    <w:div w:id="349333211">
      <w:marLeft w:val="0"/>
      <w:marRight w:val="0"/>
      <w:marTop w:val="0"/>
      <w:marBottom w:val="0"/>
      <w:divBdr>
        <w:top w:val="none" w:sz="0" w:space="0" w:color="auto"/>
        <w:left w:val="none" w:sz="0" w:space="0" w:color="auto"/>
        <w:bottom w:val="none" w:sz="0" w:space="0" w:color="auto"/>
        <w:right w:val="none" w:sz="0" w:space="0" w:color="auto"/>
      </w:divBdr>
    </w:div>
    <w:div w:id="349333212">
      <w:marLeft w:val="0"/>
      <w:marRight w:val="0"/>
      <w:marTop w:val="0"/>
      <w:marBottom w:val="0"/>
      <w:divBdr>
        <w:top w:val="none" w:sz="0" w:space="0" w:color="auto"/>
        <w:left w:val="none" w:sz="0" w:space="0" w:color="auto"/>
        <w:bottom w:val="none" w:sz="0" w:space="0" w:color="auto"/>
        <w:right w:val="none" w:sz="0" w:space="0" w:color="auto"/>
      </w:divBdr>
    </w:div>
    <w:div w:id="349333213">
      <w:marLeft w:val="0"/>
      <w:marRight w:val="0"/>
      <w:marTop w:val="0"/>
      <w:marBottom w:val="0"/>
      <w:divBdr>
        <w:top w:val="none" w:sz="0" w:space="0" w:color="auto"/>
        <w:left w:val="none" w:sz="0" w:space="0" w:color="auto"/>
        <w:bottom w:val="none" w:sz="0" w:space="0" w:color="auto"/>
        <w:right w:val="none" w:sz="0" w:space="0" w:color="auto"/>
      </w:divBdr>
    </w:div>
    <w:div w:id="349333214">
      <w:marLeft w:val="0"/>
      <w:marRight w:val="0"/>
      <w:marTop w:val="0"/>
      <w:marBottom w:val="0"/>
      <w:divBdr>
        <w:top w:val="none" w:sz="0" w:space="0" w:color="auto"/>
        <w:left w:val="none" w:sz="0" w:space="0" w:color="auto"/>
        <w:bottom w:val="none" w:sz="0" w:space="0" w:color="auto"/>
        <w:right w:val="none" w:sz="0" w:space="0" w:color="auto"/>
      </w:divBdr>
    </w:div>
    <w:div w:id="349333215">
      <w:marLeft w:val="0"/>
      <w:marRight w:val="0"/>
      <w:marTop w:val="0"/>
      <w:marBottom w:val="0"/>
      <w:divBdr>
        <w:top w:val="none" w:sz="0" w:space="0" w:color="auto"/>
        <w:left w:val="none" w:sz="0" w:space="0" w:color="auto"/>
        <w:bottom w:val="none" w:sz="0" w:space="0" w:color="auto"/>
        <w:right w:val="none" w:sz="0" w:space="0" w:color="auto"/>
      </w:divBdr>
    </w:div>
    <w:div w:id="349333216">
      <w:marLeft w:val="0"/>
      <w:marRight w:val="0"/>
      <w:marTop w:val="0"/>
      <w:marBottom w:val="0"/>
      <w:divBdr>
        <w:top w:val="none" w:sz="0" w:space="0" w:color="auto"/>
        <w:left w:val="none" w:sz="0" w:space="0" w:color="auto"/>
        <w:bottom w:val="none" w:sz="0" w:space="0" w:color="auto"/>
        <w:right w:val="none" w:sz="0" w:space="0" w:color="auto"/>
      </w:divBdr>
    </w:div>
    <w:div w:id="349333217">
      <w:marLeft w:val="0"/>
      <w:marRight w:val="0"/>
      <w:marTop w:val="0"/>
      <w:marBottom w:val="0"/>
      <w:divBdr>
        <w:top w:val="none" w:sz="0" w:space="0" w:color="auto"/>
        <w:left w:val="none" w:sz="0" w:space="0" w:color="auto"/>
        <w:bottom w:val="none" w:sz="0" w:space="0" w:color="auto"/>
        <w:right w:val="none" w:sz="0" w:space="0" w:color="auto"/>
      </w:divBdr>
    </w:div>
    <w:div w:id="349333218">
      <w:marLeft w:val="0"/>
      <w:marRight w:val="0"/>
      <w:marTop w:val="0"/>
      <w:marBottom w:val="0"/>
      <w:divBdr>
        <w:top w:val="none" w:sz="0" w:space="0" w:color="auto"/>
        <w:left w:val="none" w:sz="0" w:space="0" w:color="auto"/>
        <w:bottom w:val="none" w:sz="0" w:space="0" w:color="auto"/>
        <w:right w:val="none" w:sz="0" w:space="0" w:color="auto"/>
      </w:divBdr>
    </w:div>
    <w:div w:id="3493332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Pages>
  <Words>1411</Words>
  <Characters>8046</Characters>
  <Application>Microsoft Office Word</Application>
  <DocSecurity>0</DocSecurity>
  <Lines>67</Lines>
  <Paragraphs>18</Paragraphs>
  <ScaleCrop>false</ScaleCrop>
  <Company>sou av cr</Company>
  <LinksUpToDate>false</LinksUpToDate>
  <CharactersWithSpaces>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Špaček</dc:creator>
  <cp:keywords/>
  <dc:description/>
  <cp:lastModifiedBy>Petra Fejfarová</cp:lastModifiedBy>
  <cp:revision>22</cp:revision>
  <dcterms:created xsi:type="dcterms:W3CDTF">2013-08-31T07:52:00Z</dcterms:created>
  <dcterms:modified xsi:type="dcterms:W3CDTF">2013-09-16T09:05:00Z</dcterms:modified>
</cp:coreProperties>
</file>